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48"/>
          <w:szCs w:val="48"/>
        </w:rPr>
      </w:pPr>
    </w:p>
    <w:p>
      <w:pPr>
        <w:jc w:val="center"/>
        <w:rPr>
          <w:rFonts w:ascii="楷体_GB2312" w:eastAsia="楷体_GB2312"/>
          <w:b/>
          <w:bCs/>
          <w:sz w:val="36"/>
          <w:szCs w:val="36"/>
        </w:rPr>
      </w:pPr>
      <w:r>
        <w:rPr>
          <w:rFonts w:hint="eastAsia" w:ascii="宋体" w:hAnsi="宋体"/>
          <w:b/>
          <w:bCs/>
          <w:sz w:val="36"/>
          <w:szCs w:val="36"/>
        </w:rPr>
        <w:t>温县疾病预防控制中心公共场所监测仪器设备购置项目</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84"/>
          <w:szCs w:val="84"/>
        </w:rPr>
        <w:t>竞争性谈判文件</w:t>
      </w:r>
    </w:p>
    <w:p>
      <w:pPr>
        <w:jc w:val="center"/>
        <w:rPr>
          <w:rFonts w:ascii="宋体" w:hAnsi="宋体"/>
          <w:b/>
          <w:bCs/>
          <w:sz w:val="24"/>
        </w:rPr>
      </w:pPr>
      <w:r>
        <w:rPr>
          <w:rFonts w:hint="eastAsia" w:ascii="宋体" w:hAnsi="宋体"/>
          <w:b/>
          <w:bCs/>
          <w:sz w:val="24"/>
        </w:rPr>
        <w:t>交易编号：温交易【</w:t>
      </w:r>
      <w:r>
        <w:rPr>
          <w:rFonts w:ascii="宋体" w:hAnsi="宋体"/>
          <w:b/>
          <w:bCs/>
          <w:sz w:val="24"/>
        </w:rPr>
        <w:t>201</w:t>
      </w:r>
      <w:r>
        <w:rPr>
          <w:rFonts w:hint="eastAsia" w:ascii="宋体" w:hAnsi="宋体"/>
          <w:b/>
          <w:bCs/>
          <w:sz w:val="24"/>
        </w:rPr>
        <w:t>7】50号</w:t>
      </w:r>
    </w:p>
    <w:p>
      <w:pPr>
        <w:jc w:val="center"/>
        <w:rPr>
          <w:rFonts w:ascii="宋体" w:hAnsi="宋体"/>
          <w:b/>
          <w:bCs/>
          <w:sz w:val="24"/>
        </w:rPr>
      </w:pPr>
      <w:r>
        <w:rPr>
          <w:rFonts w:hint="eastAsia" w:ascii="宋体" w:hAnsi="宋体"/>
          <w:b/>
          <w:bCs/>
          <w:sz w:val="24"/>
        </w:rPr>
        <w:t>采购编号：温政采【2017】40号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2268" w:firstLineChars="753"/>
        <w:rPr>
          <w:rFonts w:hAnsi="宋体"/>
          <w:sz w:val="30"/>
          <w:szCs w:val="30"/>
        </w:rPr>
      </w:pPr>
      <w:r>
        <w:rPr>
          <w:rFonts w:hint="eastAsia" w:hAnsi="宋体"/>
          <w:b/>
          <w:sz w:val="30"/>
          <w:szCs w:val="30"/>
        </w:rPr>
        <w:t>采 购 人</w:t>
      </w:r>
      <w:r>
        <w:rPr>
          <w:rFonts w:hAnsi="宋体"/>
          <w:b/>
          <w:sz w:val="30"/>
          <w:szCs w:val="30"/>
        </w:rPr>
        <w:t>:</w:t>
      </w:r>
      <w:r>
        <w:rPr>
          <w:rFonts w:hint="eastAsia" w:hAnsi="宋体"/>
          <w:b/>
          <w:bCs/>
          <w:kern w:val="0"/>
          <w:sz w:val="30"/>
          <w:szCs w:val="30"/>
        </w:rPr>
        <w:t>温县疾病预防控制中心</w:t>
      </w:r>
    </w:p>
    <w:p>
      <w:pPr>
        <w:pStyle w:val="8"/>
        <w:ind w:firstLine="2268" w:firstLineChars="753"/>
        <w:rPr>
          <w:rFonts w:hAnsi="宋体"/>
          <w:b/>
          <w:sz w:val="30"/>
          <w:szCs w:val="30"/>
        </w:rPr>
      </w:pPr>
      <w:r>
        <w:rPr>
          <w:rFonts w:hint="eastAsia" w:hAnsi="宋体"/>
          <w:b/>
          <w:sz w:val="30"/>
          <w:szCs w:val="30"/>
        </w:rPr>
        <w:t>代理机构</w:t>
      </w:r>
      <w:r>
        <w:rPr>
          <w:rFonts w:hAnsi="宋体"/>
          <w:b/>
          <w:sz w:val="30"/>
          <w:szCs w:val="30"/>
        </w:rPr>
        <w:t>:</w:t>
      </w:r>
      <w:r>
        <w:rPr>
          <w:rFonts w:hint="eastAsia" w:hAnsi="宋体"/>
          <w:b/>
          <w:sz w:val="30"/>
          <w:szCs w:val="30"/>
        </w:rPr>
        <w:t xml:space="preserve">河南智远工程管理有限公司  </w:t>
      </w:r>
    </w:p>
    <w:p>
      <w:pPr>
        <w:spacing w:line="440" w:lineRule="exact"/>
        <w:ind w:firstLine="2268" w:firstLineChars="753"/>
        <w:rPr>
          <w:rFonts w:ascii="宋体" w:hAnsi="宋体"/>
          <w:sz w:val="30"/>
          <w:szCs w:val="30"/>
        </w:rPr>
      </w:pPr>
      <w:r>
        <w:rPr>
          <w:rFonts w:hint="eastAsia" w:ascii="宋体" w:hAnsi="宋体"/>
          <w:b/>
          <w:sz w:val="30"/>
          <w:szCs w:val="30"/>
        </w:rPr>
        <w:t xml:space="preserve">日    期：2017年4月 </w:t>
      </w:r>
    </w:p>
    <w:p>
      <w:pPr>
        <w:tabs>
          <w:tab w:val="left" w:pos="2310"/>
        </w:tabs>
        <w:spacing w:line="360" w:lineRule="exact"/>
        <w:rPr>
          <w:rFonts w:ascii="宋体"/>
          <w:szCs w:val="21"/>
        </w:rPr>
      </w:pPr>
      <w:r>
        <w:rPr>
          <w:rFonts w:ascii="宋体"/>
          <w:szCs w:val="21"/>
        </w:rPr>
        <w:tab/>
      </w:r>
    </w:p>
    <w:p>
      <w:pPr>
        <w:pStyle w:val="2"/>
        <w:spacing w:line="360" w:lineRule="auto"/>
        <w:rPr>
          <w:rFonts w:ascii="宋体" w:eastAsia="宋体" w:cs="宋体"/>
        </w:rPr>
      </w:pPr>
      <w:bookmarkStart w:id="0" w:name="_Toc9766"/>
      <w:bookmarkStart w:id="1" w:name="_Toc430613402"/>
    </w:p>
    <w:p>
      <w:pPr>
        <w:pStyle w:val="2"/>
        <w:spacing w:line="360" w:lineRule="auto"/>
        <w:rPr>
          <w:rFonts w:ascii="宋体" w:eastAsia="宋体" w:cs="宋体"/>
        </w:rPr>
      </w:pPr>
      <w:r>
        <w:rPr>
          <w:rFonts w:hint="eastAsia" w:ascii="宋体" w:eastAsia="宋体" w:cs="宋体"/>
        </w:rPr>
        <w:t>第一章竞争性谈判公告</w:t>
      </w:r>
      <w:bookmarkEnd w:id="0"/>
      <w:bookmarkEnd w:id="1"/>
    </w:p>
    <w:p>
      <w:pPr>
        <w:spacing w:line="360" w:lineRule="auto"/>
        <w:jc w:val="center"/>
        <w:rPr>
          <w:rFonts w:ascii="宋体" w:hAnsi="宋体" w:cs="宋体"/>
          <w:b/>
          <w:bCs/>
          <w:sz w:val="24"/>
        </w:rPr>
      </w:pPr>
      <w:r>
        <w:rPr>
          <w:rFonts w:hint="eastAsia" w:ascii="宋体" w:hAnsi="宋体" w:cs="宋体"/>
          <w:b/>
          <w:bCs/>
          <w:sz w:val="24"/>
        </w:rPr>
        <w:t>温县疾病预防控制中心关于温县疾病预防控制中心公共场所监测仪器设备购置项目</w:t>
      </w:r>
    </w:p>
    <w:p>
      <w:pPr>
        <w:spacing w:line="360" w:lineRule="auto"/>
        <w:jc w:val="center"/>
        <w:rPr>
          <w:rFonts w:ascii="宋体" w:hAnsi="宋体" w:cs="宋体"/>
          <w:b/>
          <w:bCs/>
          <w:sz w:val="24"/>
        </w:rPr>
      </w:pPr>
      <w:r>
        <w:rPr>
          <w:rFonts w:hint="eastAsia" w:ascii="宋体" w:hAnsi="宋体" w:cs="宋体"/>
          <w:b/>
          <w:bCs/>
          <w:sz w:val="24"/>
        </w:rPr>
        <w:t>竞争性谈判公告</w:t>
      </w:r>
    </w:p>
    <w:p>
      <w:pPr>
        <w:pStyle w:val="19"/>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河南智远工程管理有限公司受温县疾病预防控制中心委托，就温县疾病预防控制中心公共场所监测仪器设备购置项目进行竞争性谈判，现欢迎符合相关条件的供应商参加投标。</w:t>
      </w:r>
    </w:p>
    <w:p>
      <w:pPr>
        <w:pStyle w:val="19"/>
        <w:numPr>
          <w:ilvl w:val="0"/>
          <w:numId w:val="1"/>
        </w:numPr>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b/>
          <w:bCs/>
          <w:color w:val="000000"/>
          <w:shd w:val="clear" w:color="auto" w:fill="FFFFFF"/>
        </w:rPr>
        <w:t>采购项目名称</w:t>
      </w:r>
      <w:r>
        <w:rPr>
          <w:rFonts w:hint="eastAsia" w:asciiTheme="minorEastAsia" w:hAnsiTheme="minorEastAsia" w:eastAsiaTheme="minorEastAsia"/>
          <w:color w:val="000000"/>
          <w:shd w:val="clear" w:color="auto" w:fill="FFFFFF"/>
        </w:rPr>
        <w:t>：温县疾病预防控制中心公共场所监测仪器设备购置项目</w:t>
      </w:r>
    </w:p>
    <w:p>
      <w:pPr>
        <w:pStyle w:val="19"/>
        <w:shd w:val="clear" w:color="auto" w:fill="FFFFFF"/>
        <w:spacing w:before="0" w:beforeAutospacing="0" w:after="0" w:afterAutospacing="0" w:line="520" w:lineRule="exact"/>
        <w:ind w:left="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二、</w:t>
      </w:r>
      <w:r>
        <w:rPr>
          <w:rFonts w:hint="eastAsia" w:asciiTheme="minorEastAsia" w:hAnsiTheme="minorEastAsia" w:eastAsiaTheme="minorEastAsia"/>
          <w:b/>
          <w:bCs/>
          <w:color w:val="000000"/>
          <w:shd w:val="clear" w:color="auto" w:fill="FFFFFF"/>
        </w:rPr>
        <w:t>项目编号</w:t>
      </w:r>
      <w:r>
        <w:rPr>
          <w:rFonts w:hint="eastAsia" w:asciiTheme="minorEastAsia" w:hAnsiTheme="minorEastAsia" w:eastAsiaTheme="minorEastAsia"/>
          <w:color w:val="000000"/>
          <w:shd w:val="clear" w:color="auto" w:fill="FFFFFF"/>
        </w:rPr>
        <w:t>：温交易[2017]50号       采购编号：温政采[2017]40号</w:t>
      </w:r>
    </w:p>
    <w:p>
      <w:pPr>
        <w:pStyle w:val="19"/>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三、</w:t>
      </w:r>
      <w:r>
        <w:rPr>
          <w:rFonts w:hint="eastAsia" w:asciiTheme="minorEastAsia" w:hAnsiTheme="minorEastAsia" w:eastAsiaTheme="minorEastAsia"/>
          <w:b/>
          <w:bCs/>
          <w:color w:val="000000"/>
          <w:shd w:val="clear" w:color="auto" w:fill="FFFFFF"/>
        </w:rPr>
        <w:t>采购项目简要说明</w:t>
      </w:r>
      <w:r>
        <w:rPr>
          <w:rFonts w:hint="eastAsia" w:asciiTheme="minorEastAsia" w:hAnsiTheme="minorEastAsia" w:eastAsiaTheme="minorEastAsia"/>
          <w:color w:val="000000"/>
          <w:shd w:val="clear" w:color="auto" w:fill="FFFFFF"/>
        </w:rPr>
        <w:t>：</w:t>
      </w:r>
    </w:p>
    <w:p>
      <w:pPr>
        <w:spacing w:line="520" w:lineRule="exact"/>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1、采购项目内容、数量及要求：温县疾病预防控制中心公共场所监测仪器设备购置（数量及技术参数详见谈判文件）</w:t>
      </w:r>
    </w:p>
    <w:p>
      <w:pPr>
        <w:spacing w:line="520" w:lineRule="exact"/>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2、资金来源：自筹；</w:t>
      </w:r>
    </w:p>
    <w:p>
      <w:pPr>
        <w:spacing w:line="520" w:lineRule="exact"/>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3、供货期：自签订合同之日起15天；</w:t>
      </w:r>
    </w:p>
    <w:p>
      <w:pPr>
        <w:spacing w:line="520" w:lineRule="exact"/>
        <w:ind w:firstLine="480" w:firstLineChars="200"/>
        <w:jc w:val="left"/>
        <w:rPr>
          <w:rFonts w:asciiTheme="minorEastAsia" w:hAnsiTheme="minorEastAsia" w:eastAsiaTheme="minorEastAsia"/>
          <w:color w:val="000000"/>
          <w:shd w:val="clear" w:color="auto" w:fill="FFFFFF"/>
        </w:rPr>
      </w:pPr>
      <w:r>
        <w:rPr>
          <w:rFonts w:hint="eastAsia" w:cs="宋体" w:asciiTheme="minorEastAsia" w:hAnsiTheme="minorEastAsia" w:eastAsiaTheme="minorEastAsia"/>
          <w:sz w:val="24"/>
        </w:rPr>
        <w:t>4、质量标准：所提供的产品是全新的、符合国家质量标准和行业质量标准要求。</w:t>
      </w:r>
    </w:p>
    <w:p>
      <w:pPr>
        <w:pStyle w:val="19"/>
        <w:shd w:val="clear" w:color="auto" w:fill="FFFFFF"/>
        <w:spacing w:before="0" w:beforeAutospacing="0" w:after="0" w:afterAutospacing="0" w:line="520" w:lineRule="exact"/>
        <w:ind w:firstLine="482"/>
        <w:rPr>
          <w:rFonts w:cs="微软雅黑" w:asciiTheme="minorEastAsia" w:hAnsiTheme="minorEastAsia" w:eastAsiaTheme="minorEastAsia"/>
          <w:color w:val="000000"/>
          <w:sz w:val="18"/>
          <w:szCs w:val="18"/>
        </w:rPr>
      </w:pPr>
      <w:r>
        <w:rPr>
          <w:rFonts w:hint="eastAsia" w:asciiTheme="minorEastAsia" w:hAnsiTheme="minorEastAsia" w:eastAsiaTheme="minorEastAsia"/>
          <w:b/>
          <w:color w:val="000000"/>
          <w:shd w:val="clear" w:color="auto" w:fill="FFFFFF"/>
        </w:rPr>
        <w:t>四、供应商资格要求</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4.1符合《政府采购法》第二十二条规定的条件：</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w:t>
      </w:r>
      <w:r>
        <w:rPr>
          <w:rFonts w:cs="微软雅黑" w:asciiTheme="minorEastAsia" w:hAnsiTheme="minorEastAsia" w:eastAsiaTheme="minorEastAsia"/>
          <w:color w:val="000000"/>
          <w:sz w:val="18"/>
          <w:szCs w:val="18"/>
          <w:shd w:val="clear" w:color="auto" w:fill="FFFFFF"/>
        </w:rPr>
        <w:t>1</w:t>
      </w:r>
      <w:r>
        <w:rPr>
          <w:rFonts w:hint="eastAsia" w:asciiTheme="minorEastAsia" w:hAnsiTheme="minorEastAsia" w:eastAsiaTheme="minorEastAsia"/>
          <w:color w:val="000000"/>
          <w:shd w:val="clear" w:color="auto" w:fill="FFFFFF"/>
        </w:rPr>
        <w:t>）具有独立承担民事责任的能力；</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w:t>
      </w:r>
      <w:r>
        <w:rPr>
          <w:rFonts w:cs="微软雅黑" w:asciiTheme="minorEastAsia" w:hAnsiTheme="minorEastAsia" w:eastAsiaTheme="minorEastAsia"/>
          <w:color w:val="000000"/>
          <w:sz w:val="18"/>
          <w:szCs w:val="18"/>
          <w:shd w:val="clear" w:color="auto" w:fill="FFFFFF"/>
        </w:rPr>
        <w:t>2</w:t>
      </w:r>
      <w:r>
        <w:rPr>
          <w:rFonts w:hint="eastAsia" w:asciiTheme="minorEastAsia" w:hAnsiTheme="minorEastAsia" w:eastAsiaTheme="minorEastAsia"/>
          <w:color w:val="000000"/>
          <w:shd w:val="clear" w:color="auto" w:fill="FFFFFF"/>
        </w:rPr>
        <w:t>）具有良好的商业信誉和健全的财务会计制度；</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w:t>
      </w:r>
      <w:r>
        <w:rPr>
          <w:rFonts w:cs="微软雅黑" w:asciiTheme="minorEastAsia" w:hAnsiTheme="minorEastAsia" w:eastAsiaTheme="minorEastAsia"/>
          <w:color w:val="000000"/>
          <w:sz w:val="18"/>
          <w:szCs w:val="18"/>
          <w:shd w:val="clear" w:color="auto" w:fill="FFFFFF"/>
        </w:rPr>
        <w:t>3</w:t>
      </w:r>
      <w:r>
        <w:rPr>
          <w:rFonts w:hint="eastAsia" w:asciiTheme="minorEastAsia" w:hAnsiTheme="minorEastAsia" w:eastAsiaTheme="minorEastAsia"/>
          <w:color w:val="000000"/>
          <w:shd w:val="clear" w:color="auto" w:fill="FFFFFF"/>
        </w:rPr>
        <w:t>）具有履行合同所必需的设备和专业技术能力；</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w:t>
      </w:r>
      <w:r>
        <w:rPr>
          <w:rFonts w:cs="微软雅黑" w:asciiTheme="minorEastAsia" w:hAnsiTheme="minorEastAsia" w:eastAsiaTheme="minorEastAsia"/>
          <w:color w:val="000000"/>
          <w:sz w:val="18"/>
          <w:szCs w:val="18"/>
          <w:shd w:val="clear" w:color="auto" w:fill="FFFFFF"/>
        </w:rPr>
        <w:t>4</w:t>
      </w:r>
      <w:r>
        <w:rPr>
          <w:rFonts w:hint="eastAsia" w:asciiTheme="minorEastAsia" w:hAnsiTheme="minorEastAsia" w:eastAsiaTheme="minorEastAsia"/>
          <w:color w:val="000000"/>
          <w:shd w:val="clear" w:color="auto" w:fill="FFFFFF"/>
        </w:rPr>
        <w:t>）有依法缴纳税收和社会保障资金的良好记录；</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w:t>
      </w:r>
      <w:r>
        <w:rPr>
          <w:rFonts w:cs="微软雅黑" w:asciiTheme="minorEastAsia" w:hAnsiTheme="minorEastAsia" w:eastAsiaTheme="minorEastAsia"/>
          <w:color w:val="000000"/>
          <w:sz w:val="18"/>
          <w:szCs w:val="18"/>
          <w:shd w:val="clear" w:color="auto" w:fill="FFFFFF"/>
        </w:rPr>
        <w:t>5</w:t>
      </w:r>
      <w:r>
        <w:rPr>
          <w:rFonts w:hint="eastAsia" w:asciiTheme="minorEastAsia" w:hAnsiTheme="minorEastAsia" w:eastAsiaTheme="minorEastAsia"/>
          <w:color w:val="000000"/>
          <w:shd w:val="clear" w:color="auto" w:fill="FFFFFF"/>
        </w:rPr>
        <w:t>）参加政府采购活动前三年内，在经营活动中没有重大违法记录；</w:t>
      </w:r>
    </w:p>
    <w:p>
      <w:pPr>
        <w:pStyle w:val="19"/>
        <w:shd w:val="clear" w:color="auto" w:fill="FFFFFF"/>
        <w:spacing w:before="0" w:beforeAutospacing="0" w:after="0" w:afterAutospacing="0" w:line="52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w:t>
      </w:r>
      <w:r>
        <w:rPr>
          <w:rFonts w:cs="微软雅黑" w:asciiTheme="minorEastAsia" w:hAnsiTheme="minorEastAsia" w:eastAsiaTheme="minorEastAsia"/>
          <w:color w:val="000000"/>
          <w:sz w:val="18"/>
          <w:szCs w:val="18"/>
          <w:shd w:val="clear" w:color="auto" w:fill="FFFFFF"/>
        </w:rPr>
        <w:t>6</w:t>
      </w:r>
      <w:r>
        <w:rPr>
          <w:rFonts w:hint="eastAsia" w:asciiTheme="minorEastAsia" w:hAnsiTheme="minorEastAsia" w:eastAsiaTheme="minorEastAsia"/>
          <w:color w:val="000000"/>
          <w:shd w:val="clear" w:color="auto" w:fill="FFFFFF"/>
        </w:rPr>
        <w:t>）法律、行政法规规定的其他条件。</w:t>
      </w:r>
    </w:p>
    <w:p>
      <w:pPr>
        <w:pStyle w:val="19"/>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4.2供应商的生产或经营范围符合本项目要求,具有有效的营业执照（副本）、税务登记证（副本）、组织机构代码证（副本）（或三证合一营业执照）。</w:t>
      </w:r>
    </w:p>
    <w:p>
      <w:pPr>
        <w:pStyle w:val="19"/>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4.3本次招标不接受联合体投标。</w:t>
      </w:r>
    </w:p>
    <w:p>
      <w:pPr>
        <w:pStyle w:val="19"/>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p>
    <w:p>
      <w:pPr>
        <w:pStyle w:val="19"/>
        <w:shd w:val="clear" w:color="auto" w:fill="FFFFFF"/>
        <w:spacing w:before="0" w:beforeAutospacing="0" w:after="0" w:afterAutospacing="0" w:line="520" w:lineRule="exact"/>
        <w:ind w:firstLine="480"/>
        <w:rPr>
          <w:rFonts w:asciiTheme="minorEastAsia" w:hAnsiTheme="minorEastAsia" w:eastAsiaTheme="minorEastAsia"/>
          <w:color w:val="000000"/>
          <w:shd w:val="clear" w:color="auto" w:fill="FFFFFF"/>
        </w:rPr>
      </w:pPr>
    </w:p>
    <w:p>
      <w:pPr>
        <w:pStyle w:val="19"/>
        <w:shd w:val="clear" w:color="auto" w:fill="FFFFFF"/>
        <w:spacing w:before="0" w:beforeAutospacing="0" w:after="0" w:afterAutospacing="0" w:line="500" w:lineRule="exact"/>
        <w:ind w:firstLine="482"/>
        <w:rPr>
          <w:rFonts w:cs="微软雅黑" w:asciiTheme="minorEastAsia" w:hAnsiTheme="minorEastAsia" w:eastAsiaTheme="minorEastAsia"/>
          <w:color w:val="000000"/>
          <w:sz w:val="18"/>
          <w:szCs w:val="18"/>
        </w:rPr>
      </w:pPr>
      <w:r>
        <w:rPr>
          <w:rFonts w:hint="eastAsia" w:asciiTheme="minorEastAsia" w:hAnsiTheme="minorEastAsia" w:eastAsiaTheme="minorEastAsia"/>
          <w:b/>
          <w:color w:val="000000"/>
          <w:shd w:val="clear" w:color="auto" w:fill="FFFFFF"/>
        </w:rPr>
        <w:t>五、竞争性谈判文件的获取</w:t>
      </w:r>
      <w:r>
        <w:rPr>
          <w:rFonts w:cs="微软雅黑" w:asciiTheme="minorEastAsia" w:hAnsiTheme="minorEastAsia" w:eastAsiaTheme="minorEastAsia"/>
          <w:color w:val="000000"/>
          <w:sz w:val="18"/>
          <w:szCs w:val="18"/>
          <w:shd w:val="clear" w:color="auto" w:fill="FFFFFF"/>
        </w:rPr>
        <w:t>  </w:t>
      </w:r>
    </w:p>
    <w:p>
      <w:pPr>
        <w:pStyle w:val="19"/>
        <w:shd w:val="clear" w:color="auto" w:fill="FFFFFF"/>
        <w:spacing w:before="0" w:beforeAutospacing="0" w:after="0" w:afterAutospacing="0" w:line="50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1、凡有意参加竞争性谈判者，请于2017年</w:t>
      </w:r>
      <w:r>
        <w:rPr>
          <w:rFonts w:hint="eastAsia" w:asciiTheme="minorEastAsia" w:hAnsiTheme="minorEastAsia" w:eastAsiaTheme="minorEastAsia"/>
          <w:color w:val="000000"/>
          <w:shd w:val="clear" w:color="auto" w:fill="FFFFFF"/>
          <w:lang w:val="en-US" w:eastAsia="zh-CN"/>
        </w:rPr>
        <w:t>4</w:t>
      </w:r>
      <w:r>
        <w:rPr>
          <w:rFonts w:hint="eastAsia" w:asciiTheme="minorEastAsia" w:hAnsiTheme="minorEastAsia" w:eastAsiaTheme="minorEastAsia"/>
          <w:color w:val="000000"/>
          <w:shd w:val="clear" w:color="auto" w:fill="FFFFFF"/>
        </w:rPr>
        <w:t>月</w:t>
      </w:r>
      <w:r>
        <w:rPr>
          <w:rFonts w:hint="eastAsia" w:asciiTheme="minorEastAsia" w:hAnsiTheme="minorEastAsia" w:eastAsiaTheme="minorEastAsia"/>
          <w:color w:val="000000"/>
          <w:shd w:val="clear" w:color="auto" w:fill="FFFFFF"/>
          <w:lang w:val="en-US" w:eastAsia="zh-CN"/>
        </w:rPr>
        <w:t>13</w:t>
      </w:r>
      <w:r>
        <w:rPr>
          <w:rFonts w:hint="eastAsia" w:asciiTheme="minorEastAsia" w:hAnsiTheme="minorEastAsia" w:eastAsiaTheme="minorEastAsia"/>
          <w:color w:val="000000"/>
          <w:shd w:val="clear" w:color="auto" w:fill="FFFFFF"/>
        </w:rPr>
        <w:t>日</w:t>
      </w:r>
      <w:r>
        <w:rPr>
          <w:rFonts w:hint="eastAsia" w:asciiTheme="minorEastAsia" w:hAnsiTheme="minorEastAsia" w:eastAsiaTheme="minorEastAsia"/>
          <w:color w:val="000000"/>
          <w:shd w:val="clear" w:color="auto" w:fill="FFFFFF"/>
          <w:lang w:val="en-US" w:eastAsia="zh-CN"/>
        </w:rPr>
        <w:t>16</w:t>
      </w:r>
      <w:r>
        <w:rPr>
          <w:rFonts w:hint="eastAsia" w:asciiTheme="minorEastAsia" w:hAnsiTheme="minorEastAsia" w:eastAsiaTheme="minorEastAsia"/>
          <w:color w:val="000000"/>
          <w:shd w:val="clear" w:color="auto" w:fill="FFFFFF"/>
        </w:rPr>
        <w:t>时</w:t>
      </w:r>
      <w:r>
        <w:rPr>
          <w:rFonts w:hint="eastAsia" w:asciiTheme="minorEastAsia" w:hAnsiTheme="minorEastAsia" w:eastAsiaTheme="minorEastAsia"/>
          <w:color w:val="000000"/>
          <w:shd w:val="clear" w:color="auto" w:fill="FFFFFF"/>
          <w:lang w:val="en-US" w:eastAsia="zh-CN"/>
        </w:rPr>
        <w:t>00</w:t>
      </w:r>
      <w:r>
        <w:rPr>
          <w:rFonts w:hint="eastAsia" w:asciiTheme="minorEastAsia" w:hAnsiTheme="minorEastAsia" w:eastAsiaTheme="minorEastAsia"/>
          <w:color w:val="000000"/>
          <w:shd w:val="clear" w:color="auto" w:fill="FFFFFF"/>
        </w:rPr>
        <w:t>分前在《河南省政府采购网》、《温县公共资源交易中心网》直接下载获取。如有补遗网上另行通知，相应顺延开标时间。</w:t>
      </w:r>
    </w:p>
    <w:p>
      <w:pPr>
        <w:pStyle w:val="19"/>
        <w:shd w:val="clear" w:color="auto" w:fill="FFFFFF"/>
        <w:spacing w:before="0" w:beforeAutospacing="0" w:after="0" w:afterAutospacing="0" w:line="500" w:lineRule="exact"/>
        <w:ind w:firstLine="480"/>
        <w:rPr>
          <w:rFonts w:cs="微软雅黑" w:asciiTheme="minorEastAsia" w:hAnsiTheme="minorEastAsia" w:eastAsiaTheme="minorEastAsia"/>
          <w:color w:val="000000"/>
          <w:sz w:val="18"/>
          <w:szCs w:val="18"/>
        </w:rPr>
      </w:pPr>
      <w:r>
        <w:rPr>
          <w:rFonts w:hint="eastAsia" w:asciiTheme="minorEastAsia" w:hAnsiTheme="minorEastAsia" w:eastAsiaTheme="minorEastAsia"/>
          <w:color w:val="000000"/>
          <w:shd w:val="clear" w:color="auto" w:fill="FFFFFF"/>
        </w:rPr>
        <w:t>2、竞争性谈判文件售价：人民币</w:t>
      </w:r>
      <w:r>
        <w:rPr>
          <w:rFonts w:asciiTheme="minorEastAsia" w:hAnsiTheme="minorEastAsia" w:eastAsiaTheme="minorEastAsia"/>
          <w:color w:val="000000"/>
          <w:shd w:val="clear" w:color="auto" w:fill="FFFFFF"/>
        </w:rPr>
        <w:t>300</w:t>
      </w:r>
      <w:r>
        <w:rPr>
          <w:rFonts w:hint="eastAsia" w:asciiTheme="minorEastAsia" w:hAnsiTheme="minorEastAsia" w:eastAsiaTheme="minorEastAsia"/>
          <w:color w:val="000000"/>
          <w:shd w:val="clear" w:color="auto" w:fill="FFFFFF"/>
        </w:rPr>
        <w:t>元</w:t>
      </w:r>
      <w:r>
        <w:rPr>
          <w:rFonts w:asciiTheme="minorEastAsia" w:hAnsiTheme="minorEastAsia" w:eastAsiaTheme="minorEastAsia"/>
          <w:color w:val="000000"/>
          <w:shd w:val="clear" w:color="auto" w:fill="FFFFFF"/>
        </w:rPr>
        <w:t>/</w:t>
      </w:r>
      <w:r>
        <w:rPr>
          <w:rFonts w:hint="eastAsia" w:asciiTheme="minorEastAsia" w:hAnsiTheme="minorEastAsia" w:eastAsiaTheme="minorEastAsia"/>
          <w:color w:val="000000"/>
          <w:shd w:val="clear" w:color="auto" w:fill="FFFFFF"/>
        </w:rPr>
        <w:t>份，开标前交纳。</w:t>
      </w:r>
    </w:p>
    <w:p>
      <w:pPr>
        <w:pStyle w:val="19"/>
        <w:shd w:val="clear" w:color="auto" w:fill="FFFFFF"/>
        <w:spacing w:before="0" w:beforeAutospacing="0" w:after="0" w:afterAutospacing="0" w:line="500" w:lineRule="exact"/>
        <w:ind w:firstLine="482"/>
        <w:rPr>
          <w:rFonts w:cs="微软雅黑" w:asciiTheme="minorEastAsia" w:hAnsiTheme="minorEastAsia" w:eastAsiaTheme="minorEastAsia"/>
          <w:color w:val="000000"/>
          <w:sz w:val="18"/>
          <w:szCs w:val="18"/>
        </w:rPr>
      </w:pPr>
      <w:r>
        <w:rPr>
          <w:rFonts w:hint="eastAsia" w:asciiTheme="minorEastAsia" w:hAnsiTheme="minorEastAsia" w:eastAsiaTheme="minorEastAsia"/>
          <w:b/>
          <w:color w:val="000000"/>
          <w:shd w:val="clear" w:color="auto" w:fill="FFFFFF"/>
        </w:rPr>
        <w:t>六、竞争性谈判保证金</w:t>
      </w:r>
    </w:p>
    <w:p>
      <w:pPr>
        <w:spacing w:line="500" w:lineRule="exact"/>
        <w:ind w:firstLine="480" w:firstLineChars="20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投标保证金金额：人民币壹仟元整（1000.00元）</w:t>
      </w:r>
    </w:p>
    <w:p>
      <w:pPr>
        <w:spacing w:line="500" w:lineRule="exact"/>
        <w:ind w:firstLine="480" w:firstLineChars="20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保证金的形式：企业账户转账</w:t>
      </w:r>
    </w:p>
    <w:p>
      <w:pPr>
        <w:spacing w:line="500" w:lineRule="exact"/>
        <w:ind w:firstLine="480" w:firstLineChars="20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开户：中国邮政储蓄银行有限责任公司温县温泉路支行</w:t>
      </w:r>
    </w:p>
    <w:p>
      <w:pPr>
        <w:spacing w:line="500" w:lineRule="exact"/>
        <w:ind w:firstLine="480" w:firstLineChars="20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开户单位：温县财政国库支付中心公共资源交易专户  </w:t>
      </w:r>
    </w:p>
    <w:p>
      <w:pPr>
        <w:spacing w:line="500" w:lineRule="exact"/>
        <w:ind w:firstLine="480" w:firstLineChars="20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账号：100435110440010001</w:t>
      </w:r>
    </w:p>
    <w:p>
      <w:pPr>
        <w:spacing w:line="500" w:lineRule="exact"/>
        <w:ind w:firstLine="480" w:firstLineChars="20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递交时间：响应人必须于2017年</w:t>
      </w:r>
      <w:r>
        <w:rPr>
          <w:rFonts w:hint="eastAsia" w:cs="宋体" w:asciiTheme="minorEastAsia" w:hAnsiTheme="minorEastAsia" w:eastAsiaTheme="minorEastAsia"/>
          <w:color w:val="000000"/>
          <w:kern w:val="0"/>
          <w:sz w:val="24"/>
          <w:shd w:val="clear" w:color="auto" w:fill="FFFFFF"/>
          <w:lang w:val="en-US" w:eastAsia="zh-CN"/>
        </w:rPr>
        <w:t>4</w:t>
      </w:r>
      <w:r>
        <w:rPr>
          <w:rFonts w:hint="eastAsia" w:cs="宋体" w:asciiTheme="minorEastAsia" w:hAnsiTheme="minorEastAsia" w:eastAsiaTheme="minorEastAsia"/>
          <w:color w:val="000000"/>
          <w:kern w:val="0"/>
          <w:sz w:val="24"/>
          <w:shd w:val="clear" w:color="auto" w:fill="FFFFFF"/>
        </w:rPr>
        <w:t>月</w:t>
      </w:r>
      <w:r>
        <w:rPr>
          <w:rFonts w:hint="eastAsia" w:cs="宋体" w:asciiTheme="minorEastAsia" w:hAnsiTheme="minorEastAsia" w:eastAsiaTheme="minorEastAsia"/>
          <w:color w:val="000000"/>
          <w:kern w:val="0"/>
          <w:sz w:val="24"/>
          <w:shd w:val="clear" w:color="auto" w:fill="FFFFFF"/>
          <w:lang w:val="en-US" w:eastAsia="zh-CN"/>
        </w:rPr>
        <w:t>13</w:t>
      </w:r>
      <w:r>
        <w:rPr>
          <w:rFonts w:hint="eastAsia" w:cs="宋体" w:asciiTheme="minorEastAsia" w:hAnsiTheme="minorEastAsia" w:eastAsiaTheme="minorEastAsia"/>
          <w:color w:val="000000"/>
          <w:kern w:val="0"/>
          <w:sz w:val="24"/>
          <w:shd w:val="clear" w:color="auto" w:fill="FFFFFF"/>
        </w:rPr>
        <w:t>日16时前，交至指定账户，以实际到账时间为准（注意1、附言请写清项目名称、项目编号2、请选择适当汇划方式，注意到账时间）。</w:t>
      </w:r>
    </w:p>
    <w:p>
      <w:pPr>
        <w:spacing w:line="500" w:lineRule="exact"/>
        <w:ind w:firstLine="360" w:firstLineChars="15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未按本规定和要求提交保证金的，采购人有权拒收其文件；</w:t>
      </w:r>
    </w:p>
    <w:p>
      <w:pPr>
        <w:spacing w:line="500" w:lineRule="exact"/>
        <w:ind w:firstLine="360" w:firstLineChars="150"/>
        <w:rPr>
          <w:rFonts w:cs="宋体" w:asciiTheme="minorEastAsia" w:hAnsiTheme="minorEastAsia" w:eastAsiaTheme="minorEastAsia"/>
          <w:color w:val="000000"/>
          <w:kern w:val="0"/>
          <w:sz w:val="24"/>
          <w:shd w:val="clear" w:color="auto" w:fill="FFFFFF"/>
        </w:rPr>
      </w:pPr>
      <w:r>
        <w:rPr>
          <w:rFonts w:hint="eastAsia" w:cs="宋体" w:asciiTheme="minorEastAsia" w:hAnsiTheme="minorEastAsia" w:eastAsiaTheme="minorEastAsia"/>
          <w:color w:val="000000"/>
          <w:kern w:val="0"/>
          <w:sz w:val="24"/>
          <w:shd w:val="clear" w:color="auto" w:fill="FFFFFF"/>
        </w:rPr>
        <w:t>未成交供应商的保证金在发出中标通知书后五个工作日内无息全额退还；</w:t>
      </w:r>
    </w:p>
    <w:p>
      <w:pPr>
        <w:spacing w:line="500" w:lineRule="exact"/>
        <w:rPr>
          <w:rFonts w:cs="微软雅黑" w:asciiTheme="minorEastAsia" w:hAnsiTheme="minorEastAsia" w:eastAsiaTheme="minorEastAsia"/>
          <w:sz w:val="24"/>
        </w:rPr>
      </w:pPr>
      <w:r>
        <w:rPr>
          <w:rFonts w:hint="eastAsia" w:asciiTheme="minorEastAsia" w:hAnsiTheme="minorEastAsia" w:eastAsiaTheme="minorEastAsia"/>
          <w:b/>
          <w:sz w:val="24"/>
          <w:shd w:val="clear" w:color="auto" w:fill="FFFFFF"/>
        </w:rPr>
        <w:t xml:space="preserve">   七、竞争性谈判响应性文件的递交</w:t>
      </w:r>
    </w:p>
    <w:p>
      <w:pPr>
        <w:pStyle w:val="19"/>
        <w:shd w:val="clear" w:color="auto" w:fill="FFFFFF"/>
        <w:spacing w:before="0" w:beforeAutospacing="0" w:after="0" w:afterAutospacing="0" w:line="500" w:lineRule="exact"/>
        <w:ind w:firstLine="480"/>
        <w:rPr>
          <w:rFonts w:asciiTheme="minorEastAsia" w:hAnsiTheme="minorEastAsia" w:eastAsiaTheme="minorEastAsia"/>
          <w:color w:val="000000"/>
          <w:shd w:val="clear" w:color="auto" w:fill="FFFFFF"/>
        </w:rPr>
      </w:pPr>
      <w:r>
        <w:rPr>
          <w:rFonts w:cs="微软雅黑" w:asciiTheme="minorEastAsia" w:hAnsiTheme="minorEastAsia" w:eastAsiaTheme="minorEastAsia"/>
          <w:color w:val="000000"/>
          <w:sz w:val="18"/>
          <w:szCs w:val="18"/>
          <w:shd w:val="clear" w:color="auto" w:fill="FFFFFF"/>
        </w:rPr>
        <w:t> </w:t>
      </w:r>
      <w:r>
        <w:rPr>
          <w:rFonts w:hint="eastAsia" w:asciiTheme="minorEastAsia" w:hAnsiTheme="minorEastAsia" w:eastAsiaTheme="minorEastAsia"/>
          <w:color w:val="000000"/>
          <w:shd w:val="clear" w:color="auto" w:fill="FFFFFF"/>
        </w:rPr>
        <w:t>竞争性谈判响应性文件递交的截止时间为</w:t>
      </w:r>
      <w:r>
        <w:rPr>
          <w:rFonts w:asciiTheme="minorEastAsia" w:hAnsiTheme="minorEastAsia" w:eastAsiaTheme="minorEastAsia"/>
          <w:color w:val="000000"/>
          <w:shd w:val="clear" w:color="auto" w:fill="FFFFFF"/>
        </w:rPr>
        <w:t>201</w:t>
      </w:r>
      <w:r>
        <w:rPr>
          <w:rFonts w:hint="eastAsia" w:asciiTheme="minorEastAsia" w:hAnsiTheme="minorEastAsia" w:eastAsiaTheme="minorEastAsia"/>
          <w:color w:val="000000"/>
          <w:shd w:val="clear" w:color="auto" w:fill="FFFFFF"/>
        </w:rPr>
        <w:t>7年</w:t>
      </w:r>
      <w:r>
        <w:rPr>
          <w:rFonts w:hint="eastAsia" w:asciiTheme="minorEastAsia" w:hAnsiTheme="minorEastAsia" w:eastAsiaTheme="minorEastAsia"/>
          <w:color w:val="000000"/>
          <w:shd w:val="clear" w:color="auto" w:fill="FFFFFF"/>
          <w:lang w:val="en-US" w:eastAsia="zh-CN"/>
        </w:rPr>
        <w:t>4</w:t>
      </w:r>
      <w:r>
        <w:rPr>
          <w:rFonts w:hint="eastAsia" w:asciiTheme="minorEastAsia" w:hAnsiTheme="minorEastAsia" w:eastAsiaTheme="minorEastAsia"/>
          <w:color w:val="000000"/>
          <w:shd w:val="clear" w:color="auto" w:fill="FFFFFF"/>
        </w:rPr>
        <w:t>月</w:t>
      </w:r>
      <w:r>
        <w:rPr>
          <w:rFonts w:hint="eastAsia" w:asciiTheme="minorEastAsia" w:hAnsiTheme="minorEastAsia" w:eastAsiaTheme="minorEastAsia"/>
          <w:color w:val="000000"/>
          <w:shd w:val="clear" w:color="auto" w:fill="FFFFFF"/>
          <w:lang w:val="en-US" w:eastAsia="zh-CN"/>
        </w:rPr>
        <w:t>14</w:t>
      </w:r>
      <w:r>
        <w:rPr>
          <w:rFonts w:hint="eastAsia" w:asciiTheme="minorEastAsia" w:hAnsiTheme="minorEastAsia" w:eastAsiaTheme="minorEastAsia"/>
          <w:color w:val="000000"/>
          <w:shd w:val="clear" w:color="auto" w:fill="FFFFFF"/>
        </w:rPr>
        <w:t>日</w:t>
      </w:r>
      <w:r>
        <w:rPr>
          <w:rFonts w:hint="eastAsia" w:asciiTheme="minorEastAsia" w:hAnsiTheme="minorEastAsia" w:eastAsiaTheme="minorEastAsia"/>
          <w:color w:val="000000"/>
          <w:shd w:val="clear" w:color="auto" w:fill="FFFFFF"/>
          <w:lang w:val="en-US" w:eastAsia="zh-CN"/>
        </w:rPr>
        <w:t>9</w:t>
      </w:r>
      <w:r>
        <w:rPr>
          <w:rFonts w:hint="eastAsia" w:asciiTheme="minorEastAsia" w:hAnsiTheme="minorEastAsia" w:eastAsiaTheme="minorEastAsia"/>
          <w:color w:val="000000"/>
          <w:shd w:val="clear" w:color="auto" w:fill="FFFFFF"/>
        </w:rPr>
        <w:t>时</w:t>
      </w:r>
      <w:r>
        <w:rPr>
          <w:rFonts w:hint="eastAsia" w:asciiTheme="minorEastAsia" w:hAnsiTheme="minorEastAsia" w:eastAsiaTheme="minorEastAsia"/>
          <w:color w:val="000000"/>
          <w:shd w:val="clear" w:color="auto" w:fill="FFFFFF"/>
          <w:lang w:val="en-US" w:eastAsia="zh-CN"/>
        </w:rPr>
        <w:t>00</w:t>
      </w:r>
      <w:r>
        <w:rPr>
          <w:rFonts w:hint="eastAsia" w:asciiTheme="minorEastAsia" w:hAnsiTheme="minorEastAsia" w:eastAsiaTheme="minorEastAsia"/>
          <w:color w:val="000000"/>
          <w:shd w:val="clear" w:color="auto" w:fill="FFFFFF"/>
        </w:rPr>
        <w:t>分，地点为温县公共资源交易中心。</w:t>
      </w:r>
    </w:p>
    <w:p>
      <w:pPr>
        <w:pStyle w:val="19"/>
        <w:shd w:val="clear" w:color="auto" w:fill="FFFFFF"/>
        <w:spacing w:before="0" w:beforeAutospacing="0" w:after="0" w:afterAutospacing="0" w:line="50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供应商参加谈判会议须出示的证件：营业执照（副本）、税务登记证（副本）、组织机构代码证（副本）（或三证合一的营业执照）、法定代表人（负责人）证明或法定代表人授权委托书及委托人本人身份证、保证金缴款凭证、依法缴纳的税收证明、依法缴纳社会保障资金的证明、财务报告或财务报表、参加政府采购活动前三年内，在经营活动中没有重大违法记录声明。（以上均需提供原件）</w:t>
      </w:r>
    </w:p>
    <w:p>
      <w:pPr>
        <w:pStyle w:val="19"/>
        <w:shd w:val="clear" w:color="auto" w:fill="FFFFFF"/>
        <w:tabs>
          <w:tab w:val="center" w:pos="4535"/>
        </w:tabs>
        <w:spacing w:before="0" w:beforeAutospacing="0" w:after="0" w:afterAutospacing="0" w:line="500" w:lineRule="exact"/>
        <w:ind w:firstLine="482"/>
        <w:rPr>
          <w:rFonts w:cs="微软雅黑" w:asciiTheme="minorEastAsia" w:hAnsiTheme="minorEastAsia" w:eastAsiaTheme="minorEastAsia"/>
          <w:color w:val="000000"/>
          <w:sz w:val="18"/>
          <w:szCs w:val="18"/>
        </w:rPr>
      </w:pPr>
      <w:r>
        <w:rPr>
          <w:rFonts w:hint="eastAsia" w:asciiTheme="minorEastAsia" w:hAnsiTheme="minorEastAsia" w:eastAsiaTheme="minorEastAsia"/>
          <w:b/>
          <w:color w:val="000000"/>
          <w:shd w:val="clear" w:color="auto" w:fill="FFFFFF"/>
        </w:rPr>
        <w:t>八、发布公告的媒介</w:t>
      </w:r>
      <w:r>
        <w:rPr>
          <w:rFonts w:hint="eastAsia" w:asciiTheme="minorEastAsia" w:hAnsiTheme="minorEastAsia" w:eastAsiaTheme="minorEastAsia"/>
          <w:b/>
          <w:color w:val="000000"/>
          <w:shd w:val="clear" w:color="auto" w:fill="FFFFFF"/>
        </w:rPr>
        <w:tab/>
      </w:r>
    </w:p>
    <w:p>
      <w:pPr>
        <w:pStyle w:val="19"/>
        <w:shd w:val="clear" w:color="auto" w:fill="FFFFFF"/>
        <w:spacing w:before="0" w:beforeAutospacing="0" w:after="0" w:afterAutospacing="0" w:line="50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500" w:lineRule="exact"/>
        <w:ind w:firstLine="480"/>
        <w:rPr>
          <w:rFonts w:asciiTheme="minorEastAsia" w:hAnsiTheme="minorEastAsia" w:eastAsiaTheme="minorEastAsia"/>
          <w:color w:val="000000"/>
          <w:shd w:val="clear" w:color="auto" w:fill="FFFFFF"/>
        </w:rPr>
      </w:pPr>
    </w:p>
    <w:p>
      <w:pPr>
        <w:pStyle w:val="19"/>
        <w:shd w:val="clear" w:color="auto" w:fill="FFFFFF"/>
        <w:spacing w:before="0" w:beforeAutospacing="0" w:after="0" w:afterAutospacing="0" w:line="480" w:lineRule="exact"/>
        <w:ind w:firstLine="480"/>
        <w:rPr>
          <w:rFonts w:cs="微软雅黑" w:asciiTheme="minorEastAsia" w:hAnsiTheme="minorEastAsia" w:eastAsiaTheme="minorEastAsia"/>
          <w:b/>
          <w:bCs/>
          <w:color w:val="000000"/>
          <w:sz w:val="18"/>
          <w:szCs w:val="18"/>
        </w:rPr>
      </w:pPr>
      <w:r>
        <w:rPr>
          <w:rFonts w:hint="eastAsia" w:asciiTheme="minorEastAsia" w:hAnsiTheme="minorEastAsia" w:eastAsiaTheme="minorEastAsia"/>
          <w:b/>
          <w:bCs/>
          <w:color w:val="000000"/>
          <w:shd w:val="clear" w:color="auto" w:fill="FFFFFF"/>
        </w:rPr>
        <w:t>九、联系方式</w:t>
      </w:r>
    </w:p>
    <w:p>
      <w:pPr>
        <w:spacing w:line="480" w:lineRule="exact"/>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1、采购人：温县疾病预防控制中心</w:t>
      </w:r>
    </w:p>
    <w:p>
      <w:pPr>
        <w:spacing w:line="480" w:lineRule="exact"/>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 xml:space="preserve">联系人：王先生          </w:t>
      </w:r>
    </w:p>
    <w:p>
      <w:pPr>
        <w:spacing w:line="480" w:lineRule="exact"/>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电  话：13849593221</w:t>
      </w:r>
    </w:p>
    <w:p>
      <w:pPr>
        <w:spacing w:line="48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 xml:space="preserve">    2、采购代理机构：河南智远工程管理有限公司</w:t>
      </w:r>
    </w:p>
    <w:p>
      <w:pPr>
        <w:pStyle w:val="19"/>
        <w:shd w:val="clear" w:color="auto" w:fill="FFFFFF"/>
        <w:spacing w:before="0" w:beforeAutospacing="0" w:after="0" w:afterAutospacing="0" w:line="480" w:lineRule="exact"/>
        <w:ind w:firstLine="480"/>
        <w:rPr>
          <w:rFonts w:asciiTheme="minorEastAsia" w:hAnsiTheme="minorEastAsia" w:eastAsiaTheme="minorEastAsia"/>
        </w:rPr>
      </w:pPr>
      <w:r>
        <w:rPr>
          <w:rFonts w:hint="eastAsia" w:asciiTheme="minorEastAsia" w:hAnsiTheme="minorEastAsia" w:eastAsiaTheme="minorEastAsia"/>
        </w:rPr>
        <w:t xml:space="preserve">联系人：张先生          </w:t>
      </w:r>
    </w:p>
    <w:p>
      <w:pPr>
        <w:pStyle w:val="19"/>
        <w:shd w:val="clear" w:color="auto" w:fill="FFFFFF"/>
        <w:spacing w:before="0" w:beforeAutospacing="0" w:after="0" w:afterAutospacing="0" w:line="480" w:lineRule="exact"/>
        <w:ind w:firstLine="480"/>
        <w:rPr>
          <w:rFonts w:asciiTheme="minorEastAsia" w:hAnsiTheme="minorEastAsia" w:eastAsiaTheme="minorEastAsia"/>
        </w:rPr>
      </w:pPr>
      <w:r>
        <w:rPr>
          <w:rFonts w:hint="eastAsia" w:asciiTheme="minorEastAsia" w:hAnsiTheme="minorEastAsia" w:eastAsiaTheme="minorEastAsia"/>
        </w:rPr>
        <w:t>电  话：0391-2930299/13462804561</w:t>
      </w:r>
    </w:p>
    <w:p>
      <w:pPr>
        <w:pStyle w:val="19"/>
        <w:shd w:val="clear" w:color="auto" w:fill="FFFFFF"/>
        <w:spacing w:before="0" w:beforeAutospacing="0" w:after="0" w:afterAutospacing="0" w:line="480" w:lineRule="exact"/>
        <w:ind w:firstLine="480"/>
        <w:rPr>
          <w:rFonts w:cs="微软雅黑" w:asciiTheme="minorEastAsia" w:hAnsiTheme="minorEastAsia" w:eastAsiaTheme="minorEastAsia"/>
          <w:b/>
          <w:bCs/>
          <w:color w:val="000000"/>
          <w:sz w:val="18"/>
          <w:szCs w:val="18"/>
        </w:rPr>
      </w:pPr>
      <w:r>
        <w:rPr>
          <w:rFonts w:hint="eastAsia" w:asciiTheme="minorEastAsia" w:hAnsiTheme="minorEastAsia" w:eastAsiaTheme="minorEastAsia"/>
          <w:b/>
          <w:bCs/>
          <w:color w:val="000000"/>
          <w:shd w:val="clear" w:color="auto" w:fill="FFFFFF"/>
        </w:rPr>
        <w:t>十、其他应说明事项：</w:t>
      </w:r>
    </w:p>
    <w:p>
      <w:pPr>
        <w:pStyle w:val="19"/>
        <w:shd w:val="clear" w:color="auto" w:fill="FFFFFF"/>
        <w:spacing w:before="0" w:beforeAutospacing="0" w:after="0" w:afterAutospacing="0" w:line="480" w:lineRule="exact"/>
        <w:ind w:firstLine="480"/>
        <w:rPr>
          <w:rFonts w:asciiTheme="minorEastAsia" w:hAnsiTheme="minorEastAsia" w:eastAsiaTheme="minorEastAsia"/>
          <w:color w:val="000000"/>
          <w:shd w:val="clear" w:color="auto" w:fill="FFFFFF"/>
        </w:rPr>
      </w:pPr>
      <w:r>
        <w:rPr>
          <w:rFonts w:hint="eastAsia" w:asciiTheme="minorEastAsia" w:hAnsiTheme="minorEastAsia" w:eastAsiaTheme="minorEastAsia"/>
          <w:color w:val="000000"/>
          <w:shd w:val="clear" w:color="auto" w:fill="FFFFFF"/>
        </w:rPr>
        <w:t>监督部门：温县财政局</w:t>
      </w:r>
      <w:r>
        <w:rPr>
          <w:rFonts w:cs="微软雅黑" w:asciiTheme="minorEastAsia" w:hAnsiTheme="minorEastAsia" w:eastAsiaTheme="minorEastAsia"/>
          <w:color w:val="000000"/>
          <w:sz w:val="18"/>
          <w:szCs w:val="18"/>
          <w:shd w:val="clear" w:color="auto" w:fill="FFFFFF"/>
        </w:rPr>
        <w:t>    </w:t>
      </w:r>
      <w:r>
        <w:rPr>
          <w:rFonts w:hint="eastAsia" w:asciiTheme="minorEastAsia" w:hAnsiTheme="minorEastAsia" w:eastAsiaTheme="minorEastAsia"/>
          <w:color w:val="000000"/>
          <w:shd w:val="clear" w:color="auto" w:fill="FFFFFF"/>
        </w:rPr>
        <w:t>联系电话：</w:t>
      </w:r>
      <w:r>
        <w:rPr>
          <w:rFonts w:asciiTheme="minorEastAsia" w:hAnsiTheme="minorEastAsia" w:eastAsiaTheme="minorEastAsia"/>
          <w:color w:val="000000"/>
          <w:shd w:val="clear" w:color="auto" w:fill="FFFFFF"/>
        </w:rPr>
        <w:t>0391-6197778</w:t>
      </w:r>
    </w:p>
    <w:p>
      <w:pPr>
        <w:pStyle w:val="19"/>
        <w:shd w:val="clear" w:color="auto" w:fill="FFFFFF"/>
        <w:spacing w:before="0" w:beforeAutospacing="0" w:after="0" w:afterAutospacing="0" w:line="480" w:lineRule="exact"/>
        <w:ind w:firstLine="480"/>
        <w:rPr>
          <w:rFonts w:cs="微软雅黑" w:asciiTheme="minorEastAsia" w:hAnsiTheme="minorEastAsia" w:eastAsiaTheme="minorEastAsia"/>
          <w:color w:val="000000"/>
          <w:shd w:val="clear" w:color="auto" w:fill="FFFFFF"/>
        </w:rPr>
      </w:pPr>
    </w:p>
    <w:p>
      <w:pPr>
        <w:pStyle w:val="19"/>
        <w:shd w:val="clear" w:color="auto" w:fill="FFFFFF"/>
        <w:spacing w:before="0" w:beforeAutospacing="0" w:after="0" w:afterAutospacing="0" w:line="480" w:lineRule="exact"/>
        <w:ind w:firstLine="480"/>
        <w:jc w:val="right"/>
        <w:rPr>
          <w:rFonts w:asciiTheme="minorEastAsia" w:hAnsiTheme="minorEastAsia" w:eastAsiaTheme="minorEastAsia"/>
          <w:sz w:val="21"/>
          <w:szCs w:val="21"/>
          <w:shd w:val="clear" w:color="auto" w:fill="FFFFFF"/>
        </w:rPr>
      </w:pPr>
      <w:r>
        <w:rPr>
          <w:rFonts w:hint="eastAsia" w:cs="微软雅黑" w:asciiTheme="minorEastAsia" w:hAnsiTheme="minorEastAsia" w:eastAsiaTheme="minorEastAsia"/>
          <w:color w:val="000000"/>
          <w:shd w:val="clear" w:color="auto" w:fill="FFFFFF"/>
        </w:rPr>
        <w:t>2017年</w:t>
      </w:r>
      <w:r>
        <w:rPr>
          <w:rFonts w:hint="eastAsia" w:cs="微软雅黑" w:asciiTheme="minorEastAsia" w:hAnsiTheme="minorEastAsia" w:eastAsiaTheme="minorEastAsia"/>
          <w:color w:val="000000"/>
          <w:shd w:val="clear" w:color="auto" w:fill="FFFFFF"/>
          <w:lang w:val="en-US" w:eastAsia="zh-CN"/>
        </w:rPr>
        <w:t>4</w:t>
      </w:r>
      <w:r>
        <w:rPr>
          <w:rFonts w:hint="eastAsia" w:cs="微软雅黑" w:asciiTheme="minorEastAsia" w:hAnsiTheme="minorEastAsia" w:eastAsiaTheme="minorEastAsia"/>
          <w:color w:val="000000"/>
          <w:shd w:val="clear" w:color="auto" w:fill="FFFFFF"/>
        </w:rPr>
        <w:t>月</w:t>
      </w:r>
      <w:r>
        <w:rPr>
          <w:rFonts w:hint="eastAsia" w:cs="微软雅黑" w:asciiTheme="minorEastAsia" w:hAnsiTheme="minorEastAsia" w:eastAsiaTheme="minorEastAsia"/>
          <w:color w:val="000000"/>
          <w:shd w:val="clear" w:color="auto" w:fill="FFFFFF"/>
          <w:lang w:val="en-US" w:eastAsia="zh-CN"/>
        </w:rPr>
        <w:t>7</w:t>
      </w:r>
      <w:r>
        <w:rPr>
          <w:rFonts w:hint="eastAsia" w:cs="微软雅黑" w:asciiTheme="minorEastAsia" w:hAnsiTheme="minorEastAsia" w:eastAsiaTheme="minorEastAsia"/>
          <w:color w:val="000000"/>
          <w:shd w:val="clear" w:color="auto" w:fill="FFFFFF"/>
        </w:rPr>
        <w:t>日</w:t>
      </w:r>
    </w:p>
    <w:p>
      <w:pPr>
        <w:rPr>
          <w:rFonts w:ascii="宋体" w:cs="宋体"/>
        </w:rPr>
      </w:pPr>
      <w:bookmarkStart w:id="2" w:name="_Toc18961"/>
      <w:bookmarkStart w:id="3" w:name="_Toc430613403"/>
      <w:bookmarkStart w:id="4" w:name="_Toc27986"/>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2"/>
        <w:spacing w:line="360" w:lineRule="auto"/>
        <w:rPr>
          <w:rFonts w:ascii="宋体" w:eastAsia="宋体" w:cs="宋体"/>
        </w:rPr>
      </w:pPr>
      <w:r>
        <w:rPr>
          <w:rFonts w:hint="eastAsia" w:ascii="宋体" w:eastAsia="宋体" w:cs="宋体"/>
        </w:rPr>
        <w:t>第二章谈判须知</w:t>
      </w:r>
      <w:bookmarkEnd w:id="2"/>
      <w:bookmarkEnd w:id="3"/>
      <w:r>
        <w:rPr>
          <w:rFonts w:hint="eastAsia" w:ascii="宋体" w:eastAsia="宋体" w:cs="宋体"/>
        </w:rPr>
        <w:t>表</w:t>
      </w:r>
      <w:bookmarkEnd w:id="4"/>
    </w:p>
    <w:p>
      <w:pPr>
        <w:adjustRightInd w:val="0"/>
        <w:spacing w:line="360" w:lineRule="exact"/>
        <w:textAlignment w:val="baseline"/>
        <w:rPr>
          <w:szCs w:val="21"/>
        </w:rPr>
      </w:pPr>
    </w:p>
    <w:tbl>
      <w:tblPr>
        <w:tblStyle w:val="24"/>
        <w:tblW w:w="9340" w:type="dxa"/>
        <w:tblInd w:w="84" w:type="dxa"/>
        <w:tblLayout w:type="fixed"/>
        <w:tblCellMar>
          <w:top w:w="0" w:type="dxa"/>
          <w:left w:w="108" w:type="dxa"/>
          <w:bottom w:w="0" w:type="dxa"/>
          <w:right w:w="108" w:type="dxa"/>
        </w:tblCellMar>
      </w:tblPr>
      <w:tblGrid>
        <w:gridCol w:w="725"/>
        <w:gridCol w:w="1840"/>
        <w:gridCol w:w="6775"/>
      </w:tblGrid>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cs="宋体"/>
                <w:kern w:val="0"/>
                <w:szCs w:val="21"/>
              </w:rPr>
              <w:t>温县疾病预防控制中心</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color w:val="000000"/>
                <w:shd w:val="clear" w:color="auto" w:fill="FFFFFF"/>
              </w:rPr>
              <w:t>河南智远工程管理有限公司</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color w:val="000000"/>
                <w:shd w:val="clear" w:color="auto" w:fill="FFFFFF"/>
              </w:rPr>
              <w:t>温县疾病预防控制中心公共场所监测仪器设备购置项目</w:t>
            </w:r>
          </w:p>
        </w:tc>
      </w:tr>
      <w:tr>
        <w:tblPrEx>
          <w:tblLayout w:type="fixed"/>
          <w:tblCellMar>
            <w:top w:w="0" w:type="dxa"/>
            <w:left w:w="108" w:type="dxa"/>
            <w:bottom w:w="0" w:type="dxa"/>
            <w:right w:w="108" w:type="dxa"/>
          </w:tblCellMar>
        </w:tblPrEx>
        <w:trPr>
          <w:trHeight w:val="3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hAnsi="宋体"/>
                <w:szCs w:val="21"/>
              </w:rPr>
              <w:t>10.5万元</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5" w:name="_Toc6902"/>
            <w:r>
              <w:rPr>
                <w:rFonts w:hint="eastAsia" w:ascii="宋体" w:hAnsi="宋体"/>
                <w:szCs w:val="21"/>
              </w:rPr>
              <w:t>15天</w:t>
            </w:r>
            <w:bookmarkEnd w:id="5"/>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9728"/>
            <w:r>
              <w:rPr>
                <w:rFonts w:ascii="宋体" w:hAnsi="宋体"/>
                <w:szCs w:val="21"/>
              </w:rPr>
              <w:t>60</w:t>
            </w:r>
            <w:r>
              <w:rPr>
                <w:rFonts w:hint="eastAsia" w:ascii="宋体" w:hAnsi="宋体"/>
                <w:szCs w:val="21"/>
              </w:rPr>
              <w:t>日历天</w:t>
            </w:r>
            <w:bookmarkEnd w:id="6"/>
          </w:p>
        </w:tc>
      </w:tr>
      <w:tr>
        <w:tblPrEx>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hAnsi="宋体" w:cs="宋体"/>
                <w:kern w:val="0"/>
                <w:szCs w:val="21"/>
                <w:shd w:val="clear" w:color="auto" w:fill="FFFFFF"/>
              </w:rPr>
            </w:pPr>
            <w:r>
              <w:rPr>
                <w:rFonts w:ascii="宋体" w:hAnsi="宋体" w:cs="宋体"/>
                <w:kern w:val="0"/>
                <w:szCs w:val="21"/>
                <w:shd w:val="clear" w:color="auto" w:fill="FFFFFF"/>
              </w:rPr>
              <w:t>1</w:t>
            </w:r>
            <w:r>
              <w:rPr>
                <w:rFonts w:hint="eastAsia" w:ascii="宋体" w:hAnsi="宋体" w:cs="宋体"/>
                <w:kern w:val="0"/>
                <w:szCs w:val="21"/>
                <w:shd w:val="clear" w:color="auto" w:fill="FFFFFF"/>
              </w:rPr>
              <w:t>、保证金的形式：企业账户转帐</w:t>
            </w:r>
          </w:p>
          <w:p>
            <w:pPr>
              <w:rPr>
                <w:rFonts w:ascii="宋体" w:cs="宋体"/>
                <w:kern w:val="0"/>
                <w:szCs w:val="21"/>
                <w:shd w:val="clear" w:color="auto" w:fill="FFFFFF"/>
              </w:rPr>
            </w:pPr>
            <w:r>
              <w:rPr>
                <w:rFonts w:hint="eastAsia" w:ascii="宋体" w:hAnsi="宋体" w:cs="宋体"/>
                <w:kern w:val="0"/>
                <w:szCs w:val="21"/>
                <w:shd w:val="clear" w:color="auto" w:fill="FFFFFF"/>
              </w:rPr>
              <w:t>投标保证金的金额：10</w:t>
            </w:r>
            <w:r>
              <w:rPr>
                <w:rFonts w:ascii="宋体" w:hAnsi="宋体" w:cs="宋体"/>
                <w:kern w:val="0"/>
                <w:szCs w:val="21"/>
                <w:shd w:val="clear" w:color="auto" w:fill="FFFFFF"/>
              </w:rPr>
              <w:t>00.00</w:t>
            </w:r>
            <w:r>
              <w:rPr>
                <w:rFonts w:hint="eastAsia" w:ascii="宋体" w:hAnsi="宋体" w:cs="宋体"/>
                <w:kern w:val="0"/>
                <w:szCs w:val="21"/>
                <w:shd w:val="clear" w:color="auto" w:fill="FFFFFF"/>
              </w:rPr>
              <w:t>元</w:t>
            </w:r>
          </w:p>
          <w:p>
            <w:pPr>
              <w:rPr>
                <w:rFonts w:ascii="宋体" w:cs="宋体"/>
                <w:kern w:val="0"/>
                <w:szCs w:val="21"/>
                <w:shd w:val="clear" w:color="auto" w:fill="FFFFFF"/>
              </w:rPr>
            </w:pPr>
            <w:r>
              <w:rPr>
                <w:rFonts w:hint="eastAsia" w:ascii="宋体" w:hAnsi="宋体" w:cs="宋体"/>
                <w:kern w:val="0"/>
                <w:szCs w:val="21"/>
                <w:shd w:val="clear" w:color="auto" w:fill="FFFFFF"/>
              </w:rPr>
              <w:t>开户：中国邮政储蓄银行有限责任公司温县温泉路支行</w:t>
            </w:r>
          </w:p>
          <w:p>
            <w:pPr>
              <w:rPr>
                <w:rFonts w:ascii="宋体" w:cs="宋体"/>
                <w:kern w:val="0"/>
                <w:szCs w:val="21"/>
                <w:shd w:val="clear" w:color="auto" w:fill="FFFFFF"/>
              </w:rPr>
            </w:pPr>
            <w:r>
              <w:rPr>
                <w:rFonts w:hint="eastAsia" w:ascii="宋体" w:hAnsi="宋体" w:cs="宋体"/>
                <w:kern w:val="0"/>
                <w:szCs w:val="21"/>
                <w:shd w:val="clear" w:color="auto" w:fill="FFFFFF"/>
              </w:rPr>
              <w:t>开户单位：温县财政国库支付中心公共资源交易专户</w:t>
            </w:r>
            <w:r>
              <w:rPr>
                <w:rFonts w:ascii="宋体" w:cs="宋体"/>
                <w:kern w:val="0"/>
                <w:szCs w:val="21"/>
                <w:shd w:val="clear" w:color="auto" w:fill="FFFFFF"/>
              </w:rPr>
              <w:t>  </w:t>
            </w:r>
          </w:p>
          <w:p>
            <w:pPr>
              <w:rPr>
                <w:rFonts w:ascii="宋体" w:cs="宋体"/>
                <w:kern w:val="0"/>
                <w:szCs w:val="21"/>
                <w:shd w:val="clear" w:color="auto" w:fill="FFFFFF"/>
              </w:rPr>
            </w:pPr>
            <w:r>
              <w:rPr>
                <w:rFonts w:hint="eastAsia" w:ascii="宋体" w:hAnsi="宋体" w:cs="宋体"/>
                <w:kern w:val="0"/>
                <w:szCs w:val="21"/>
                <w:shd w:val="clear" w:color="auto" w:fill="FFFFFF"/>
              </w:rPr>
              <w:t>账号：</w:t>
            </w:r>
            <w:r>
              <w:rPr>
                <w:rFonts w:ascii="宋体" w:hAnsi="宋体" w:cs="宋体"/>
                <w:kern w:val="0"/>
                <w:szCs w:val="21"/>
                <w:shd w:val="clear" w:color="auto" w:fill="FFFFFF"/>
              </w:rPr>
              <w:t>100435110440010001</w:t>
            </w:r>
          </w:p>
          <w:p>
            <w:pPr>
              <w:rPr>
                <w:rFonts w:ascii="宋体" w:cs="宋体"/>
                <w:kern w:val="0"/>
                <w:szCs w:val="21"/>
                <w:shd w:val="clear" w:color="auto" w:fill="FFFFFF"/>
              </w:rPr>
            </w:pPr>
            <w:r>
              <w:rPr>
                <w:rFonts w:hint="eastAsia" w:ascii="宋体" w:hAnsi="宋体" w:cs="宋体"/>
                <w:kern w:val="0"/>
                <w:szCs w:val="21"/>
                <w:shd w:val="clear" w:color="auto" w:fill="FFFFFF"/>
              </w:rPr>
              <w:t>递交时间：响应人必须于</w:t>
            </w:r>
            <w:r>
              <w:rPr>
                <w:rFonts w:ascii="宋体" w:hAnsi="宋体" w:cs="宋体"/>
                <w:kern w:val="0"/>
                <w:szCs w:val="21"/>
                <w:shd w:val="clear" w:color="auto" w:fill="FFFFFF"/>
              </w:rPr>
              <w:t>201</w:t>
            </w:r>
            <w:r>
              <w:rPr>
                <w:rFonts w:hint="eastAsia" w:ascii="宋体" w:hAnsi="宋体" w:cs="宋体"/>
                <w:kern w:val="0"/>
                <w:szCs w:val="21"/>
                <w:shd w:val="clear" w:color="auto" w:fill="FFFFFF"/>
              </w:rPr>
              <w:t>7年</w:t>
            </w:r>
            <w:r>
              <w:rPr>
                <w:rFonts w:hint="eastAsia" w:ascii="宋体" w:hAnsi="宋体" w:cs="宋体"/>
                <w:kern w:val="0"/>
                <w:szCs w:val="21"/>
                <w:shd w:val="clear" w:color="auto" w:fill="FFFFFF"/>
                <w:lang w:val="en-US" w:eastAsia="zh-CN"/>
              </w:rPr>
              <w:t>4</w:t>
            </w:r>
            <w:r>
              <w:rPr>
                <w:rFonts w:hint="eastAsia" w:ascii="宋体" w:hAnsi="宋体" w:cs="宋体"/>
                <w:kern w:val="0"/>
                <w:szCs w:val="21"/>
                <w:shd w:val="clear" w:color="auto" w:fill="FFFFFF"/>
              </w:rPr>
              <w:t>月</w:t>
            </w:r>
            <w:r>
              <w:rPr>
                <w:rFonts w:hint="eastAsia" w:ascii="宋体" w:hAnsi="宋体" w:cs="宋体"/>
                <w:kern w:val="0"/>
                <w:szCs w:val="21"/>
                <w:shd w:val="clear" w:color="auto" w:fill="FFFFFF"/>
                <w:lang w:val="en-US" w:eastAsia="zh-CN"/>
              </w:rPr>
              <w:t>13</w:t>
            </w:r>
            <w:r>
              <w:rPr>
                <w:rFonts w:hint="eastAsia" w:ascii="宋体" w:hAnsi="宋体" w:cs="宋体"/>
                <w:kern w:val="0"/>
                <w:szCs w:val="21"/>
                <w:shd w:val="clear" w:color="auto" w:fill="FFFFFF"/>
              </w:rPr>
              <w:t>日</w:t>
            </w:r>
            <w:r>
              <w:rPr>
                <w:rFonts w:ascii="宋体" w:hAnsi="宋体" w:cs="宋体"/>
                <w:kern w:val="0"/>
                <w:szCs w:val="21"/>
                <w:shd w:val="clear" w:color="auto" w:fill="FFFFFF"/>
              </w:rPr>
              <w:t>16</w:t>
            </w:r>
            <w:r>
              <w:rPr>
                <w:rFonts w:hint="eastAsia" w:ascii="宋体" w:hAnsi="宋体" w:cs="宋体"/>
                <w:kern w:val="0"/>
                <w:szCs w:val="21"/>
                <w:shd w:val="clear" w:color="auto" w:fill="FFFFFF"/>
              </w:rPr>
              <w:t>时前，交至指定账户，以实际到账时间为准（注意</w:t>
            </w:r>
            <w:r>
              <w:rPr>
                <w:rFonts w:ascii="宋体" w:hAnsi="宋体" w:cs="宋体"/>
                <w:kern w:val="0"/>
                <w:szCs w:val="21"/>
                <w:shd w:val="clear" w:color="auto" w:fill="FFFFFF"/>
              </w:rPr>
              <w:t>1</w:t>
            </w:r>
            <w:r>
              <w:rPr>
                <w:rFonts w:hint="eastAsia" w:ascii="宋体" w:hAnsi="宋体" w:cs="宋体"/>
                <w:kern w:val="0"/>
                <w:szCs w:val="21"/>
                <w:shd w:val="clear" w:color="auto" w:fill="FFFFFF"/>
              </w:rPr>
              <w:t>、附言请写清项目名称、项目编号</w:t>
            </w:r>
            <w:r>
              <w:rPr>
                <w:rFonts w:ascii="宋体" w:hAnsi="宋体" w:cs="宋体"/>
                <w:kern w:val="0"/>
                <w:szCs w:val="21"/>
                <w:shd w:val="clear" w:color="auto" w:fill="FFFFFF"/>
              </w:rPr>
              <w:t>2</w:t>
            </w:r>
            <w:r>
              <w:rPr>
                <w:rFonts w:hint="eastAsia" w:ascii="宋体" w:hAnsi="宋体" w:cs="宋体"/>
                <w:kern w:val="0"/>
                <w:szCs w:val="21"/>
                <w:shd w:val="clear" w:color="auto" w:fill="FFFFFF"/>
              </w:rPr>
              <w:t>、请选择适当汇划方式，注意到账时间）。</w:t>
            </w:r>
          </w:p>
          <w:p>
            <w:pPr>
              <w:rPr>
                <w:rFonts w:ascii="宋体" w:cs="宋体"/>
                <w:kern w:val="0"/>
                <w:szCs w:val="21"/>
                <w:shd w:val="clear" w:color="auto" w:fill="FFFFFF"/>
              </w:rPr>
            </w:pPr>
            <w:r>
              <w:rPr>
                <w:rFonts w:ascii="宋体" w:hAnsi="宋体" w:cs="宋体"/>
                <w:kern w:val="0"/>
                <w:szCs w:val="21"/>
                <w:shd w:val="clear" w:color="auto" w:fill="FFFFFF"/>
              </w:rPr>
              <w:t>2</w:t>
            </w:r>
            <w:r>
              <w:rPr>
                <w:rFonts w:hint="eastAsia" w:ascii="宋体" w:hAnsi="宋体" w:cs="宋体"/>
                <w:kern w:val="0"/>
                <w:szCs w:val="21"/>
                <w:shd w:val="clear" w:color="auto" w:fill="FFFFFF"/>
              </w:rPr>
              <w:t>、保证金的形式：企业账户转账</w:t>
            </w:r>
          </w:p>
          <w:p>
            <w:pPr>
              <w:rPr>
                <w:rFonts w:ascii="宋体" w:cs="宋体"/>
                <w:kern w:val="0"/>
                <w:szCs w:val="21"/>
                <w:shd w:val="clear" w:color="auto" w:fill="FFFFFF"/>
              </w:rPr>
            </w:pPr>
            <w:r>
              <w:rPr>
                <w:rFonts w:ascii="宋体" w:hAnsi="宋体" w:cs="宋体"/>
                <w:kern w:val="0"/>
                <w:szCs w:val="21"/>
                <w:shd w:val="clear" w:color="auto" w:fill="FFFFFF"/>
              </w:rPr>
              <w:t>3</w:t>
            </w:r>
            <w:r>
              <w:rPr>
                <w:rFonts w:hint="eastAsia" w:ascii="宋体" w:hAnsi="宋体" w:cs="宋体"/>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kern w:val="0"/>
                <w:szCs w:val="21"/>
                <w:shd w:val="clear" w:color="auto" w:fill="FFFFFF"/>
              </w:rPr>
              <w:t>4</w:t>
            </w:r>
            <w:r>
              <w:rPr>
                <w:rFonts w:hint="eastAsia" w:ascii="宋体" w:hAnsi="宋体" w:cs="宋体"/>
                <w:kern w:val="0"/>
                <w:szCs w:val="21"/>
                <w:shd w:val="clear" w:color="auto" w:fill="FFFFFF"/>
              </w:rPr>
              <w:t>、未成交供应商的保证金在发出中标通知书后五个工作日内全额退还</w:t>
            </w:r>
            <w:r>
              <w:rPr>
                <w:rFonts w:hint="eastAsia" w:ascii="宋体" w:cs="宋体"/>
                <w:kern w:val="0"/>
                <w:szCs w:val="21"/>
                <w:shd w:val="clear" w:color="auto" w:fill="FFFFFF"/>
              </w:rPr>
              <w:t>。</w:t>
            </w:r>
          </w:p>
        </w:tc>
      </w:tr>
      <w:tr>
        <w:tblPrEx>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w:t>
            </w:r>
            <w:r>
              <w:rPr>
                <w:rFonts w:hint="eastAsia" w:ascii="宋体" w:hAnsi="宋体" w:cs="宋体"/>
                <w:b/>
                <w:bCs/>
                <w:kern w:val="0"/>
                <w:szCs w:val="21"/>
                <w:u w:val="single"/>
              </w:rPr>
              <w:t>7年</w:t>
            </w:r>
            <w:r>
              <w:rPr>
                <w:rFonts w:hint="eastAsia" w:ascii="宋体" w:hAnsi="宋体" w:cs="宋体"/>
                <w:b/>
                <w:bCs/>
                <w:kern w:val="0"/>
                <w:szCs w:val="21"/>
                <w:u w:val="single"/>
                <w:lang w:val="en-US" w:eastAsia="zh-CN"/>
              </w:rPr>
              <w:t>4</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14</w:t>
            </w:r>
            <w:r>
              <w:rPr>
                <w:rFonts w:hint="eastAsia" w:ascii="宋体" w:hAnsi="宋体" w:cs="宋体"/>
                <w:b/>
                <w:bCs/>
                <w:kern w:val="0"/>
                <w:szCs w:val="21"/>
                <w:u w:val="single"/>
              </w:rPr>
              <w:t>日</w:t>
            </w:r>
            <w:r>
              <w:rPr>
                <w:rFonts w:hint="eastAsia" w:ascii="宋体" w:hAnsi="宋体" w:cs="宋体"/>
                <w:b/>
                <w:bCs/>
                <w:kern w:val="0"/>
                <w:szCs w:val="21"/>
                <w:u w:val="single"/>
                <w:lang w:val="en-US" w:eastAsia="zh-CN"/>
              </w:rPr>
              <w:t>9</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00</w:t>
            </w:r>
            <w:bookmarkStart w:id="111" w:name="_GoBack"/>
            <w:bookmarkEnd w:id="111"/>
            <w:r>
              <w:rPr>
                <w:rFonts w:hint="eastAsia" w:ascii="宋体" w:hAnsi="宋体" w:cs="宋体"/>
                <w:b/>
                <w:bCs/>
                <w:kern w:val="0"/>
                <w:szCs w:val="21"/>
                <w:u w:val="single"/>
              </w:rPr>
              <w:t>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温县公共资源交易中心开标厅</w:t>
            </w:r>
          </w:p>
        </w:tc>
      </w:tr>
    </w:tbl>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spacing w:line="540" w:lineRule="exact"/>
        <w:ind w:firstLine="405" w:firstLineChars="192"/>
        <w:rPr>
          <w:rFonts w:ascii="宋体" w:cs="宋体"/>
          <w:b/>
          <w:szCs w:val="21"/>
        </w:rPr>
      </w:pPr>
      <w:r>
        <w:rPr>
          <w:rFonts w:hint="eastAsia" w:ascii="宋体" w:hAnsi="宋体" w:cs="宋体"/>
          <w:b/>
          <w:szCs w:val="21"/>
        </w:rPr>
        <w:t>（一）开标要求</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spacing w:line="540" w:lineRule="exact"/>
        <w:ind w:firstLine="420" w:firstLineChars="200"/>
        <w:rPr>
          <w:rFonts w:ascii="宋体" w:cs="宋体"/>
          <w:b/>
          <w:szCs w:val="21"/>
        </w:rPr>
      </w:pPr>
      <w:r>
        <w:rPr>
          <w:rFonts w:ascii="宋体" w:hAnsi="宋体" w:cs="宋体"/>
          <w:szCs w:val="21"/>
        </w:rPr>
        <w:t>2</w:t>
      </w:r>
      <w:r>
        <w:rPr>
          <w:rFonts w:hint="eastAsia" w:ascii="宋体" w:hAnsi="宋体" w:cs="宋体"/>
          <w:szCs w:val="21"/>
        </w:rPr>
        <w:t>、所有供应商应按时参加谈判会议并签到，逾期到达者将视为自动弃权；</w:t>
      </w:r>
    </w:p>
    <w:p>
      <w:pPr>
        <w:spacing w:line="540" w:lineRule="exact"/>
        <w:rPr>
          <w:bCs/>
          <w:szCs w:val="21"/>
        </w:rPr>
      </w:pPr>
      <w:r>
        <w:rPr>
          <w:rFonts w:hint="eastAsia"/>
          <w:bCs/>
          <w:szCs w:val="21"/>
        </w:rPr>
        <w:t xml:space="preserve">    3、投标供应商参加谈判会议须出示的资质证件：</w:t>
      </w:r>
      <w:r>
        <w:rPr>
          <w:rFonts w:hint="eastAsia"/>
          <w:b/>
          <w:szCs w:val="21"/>
        </w:rPr>
        <w:t>营业执照（副本）、税务登记证（副本）、组织机构代码证（副本）（或三证合一的营业执照）、法定代表人（负责人）证明或法定代表人授权委托书及委托人本人身份证、保证金缴款凭证、依法缴纳的税收证明、依法缴纳社会保障资金的证明、财务报告或财务报表、参加政府采购活动前三年内，在经营活动中没有重大违法记录声明。（以上均需提供原件）</w:t>
      </w:r>
    </w:p>
    <w:p>
      <w:pPr>
        <w:spacing w:line="540" w:lineRule="exact"/>
        <w:ind w:firstLine="480"/>
        <w:rPr>
          <w:rFonts w:ascii="宋体" w:cs="宋体"/>
          <w:b/>
          <w:szCs w:val="21"/>
        </w:rPr>
      </w:pPr>
      <w:r>
        <w:rPr>
          <w:rFonts w:hint="eastAsia" w:ascii="宋体" w:hAnsi="宋体" w:cs="宋体"/>
          <w:b/>
          <w:szCs w:val="21"/>
        </w:rPr>
        <w:t>（二）有下列情形之一的，采购人不予受理：</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spacing w:line="540" w:lineRule="exact"/>
        <w:ind w:firstLine="403" w:firstLineChars="192"/>
        <w:rPr>
          <w:rFonts w:ascii="宋体" w:cs="宋体"/>
          <w:szCs w:val="21"/>
        </w:rPr>
      </w:pPr>
      <w:r>
        <w:rPr>
          <w:rFonts w:ascii="宋体" w:hAnsi="宋体" w:cs="宋体"/>
          <w:szCs w:val="21"/>
        </w:rPr>
        <w:t>2</w:t>
      </w:r>
      <w:r>
        <w:rPr>
          <w:rFonts w:hint="eastAsia" w:ascii="宋体" w:hAnsi="宋体" w:cs="宋体"/>
          <w:szCs w:val="21"/>
        </w:rPr>
        <w:t>、未按谈判文件要求密封的；</w:t>
      </w:r>
    </w:p>
    <w:p>
      <w:pPr>
        <w:spacing w:line="540" w:lineRule="exact"/>
        <w:ind w:firstLine="413" w:firstLineChars="196"/>
        <w:rPr>
          <w:rFonts w:ascii="宋体" w:cs="宋体"/>
          <w:b/>
          <w:szCs w:val="21"/>
        </w:rPr>
      </w:pPr>
      <w:r>
        <w:rPr>
          <w:rFonts w:hint="eastAsia" w:ascii="宋体" w:hAnsi="宋体" w:cs="宋体"/>
          <w:b/>
          <w:szCs w:val="21"/>
        </w:rPr>
        <w:t>（三）谈判程序</w:t>
      </w:r>
    </w:p>
    <w:p>
      <w:pPr>
        <w:spacing w:line="540" w:lineRule="exact"/>
        <w:ind w:firstLine="403" w:firstLineChars="192"/>
        <w:jc w:val="left"/>
        <w:rPr>
          <w:rFonts w:ascii="宋体" w:cs="宋体"/>
          <w:szCs w:val="21"/>
        </w:rPr>
      </w:pPr>
      <w:r>
        <w:rPr>
          <w:rFonts w:ascii="宋体" w:hAnsi="宋体" w:cs="宋体"/>
          <w:szCs w:val="21"/>
        </w:rPr>
        <w:t>1</w:t>
      </w:r>
      <w:r>
        <w:rPr>
          <w:rFonts w:hint="eastAsia" w:ascii="宋体" w:hAnsi="宋体" w:cs="宋体"/>
          <w:szCs w:val="21"/>
        </w:rPr>
        <w:t>、宣布会场纪律；</w:t>
      </w:r>
    </w:p>
    <w:p>
      <w:pPr>
        <w:spacing w:line="540" w:lineRule="exact"/>
        <w:ind w:firstLine="403" w:firstLineChars="192"/>
        <w:jc w:val="left"/>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spacing w:line="540" w:lineRule="exact"/>
        <w:ind w:firstLine="403" w:firstLineChars="192"/>
        <w:rPr>
          <w:rFonts w:ascii="宋体" w:cs="宋体"/>
          <w:szCs w:val="21"/>
        </w:rPr>
      </w:pPr>
      <w:r>
        <w:rPr>
          <w:rFonts w:ascii="宋体" w:hAnsi="宋体" w:cs="宋体"/>
          <w:szCs w:val="21"/>
        </w:rPr>
        <w:t>3</w:t>
      </w:r>
      <w:r>
        <w:rPr>
          <w:rFonts w:hint="eastAsia" w:ascii="宋体" w:hAnsi="宋体" w:cs="宋体"/>
          <w:szCs w:val="21"/>
        </w:rPr>
        <w:t>、投标供应商各派出一名代表对各谈判方的谈判文件密封情况进行查验；</w:t>
      </w:r>
    </w:p>
    <w:p>
      <w:pPr>
        <w:spacing w:line="540" w:lineRule="exact"/>
        <w:ind w:firstLine="403" w:firstLineChars="192"/>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spacing w:line="540" w:lineRule="exact"/>
        <w:ind w:firstLine="310" w:firstLineChars="147"/>
        <w:jc w:val="left"/>
        <w:rPr>
          <w:rFonts w:ascii="宋体" w:cs="宋体"/>
          <w:b/>
          <w:szCs w:val="21"/>
        </w:rPr>
      </w:pPr>
      <w:r>
        <w:rPr>
          <w:rFonts w:hint="eastAsia" w:ascii="宋体" w:hAnsi="宋体" w:cs="宋体"/>
          <w:b/>
          <w:szCs w:val="21"/>
        </w:rPr>
        <w:t>（四）谈判顺序</w:t>
      </w:r>
    </w:p>
    <w:p>
      <w:pPr>
        <w:spacing w:line="540" w:lineRule="exact"/>
        <w:ind w:firstLine="413" w:firstLineChars="196"/>
        <w:rPr>
          <w:rFonts w:ascii="宋体" w:cs="宋体"/>
          <w:b/>
          <w:szCs w:val="21"/>
          <w:u w:val="single"/>
        </w:rPr>
      </w:pPr>
      <w:r>
        <w:rPr>
          <w:rFonts w:hint="eastAsia" w:ascii="宋体" w:hAnsi="宋体" w:cs="宋体"/>
          <w:b/>
          <w:szCs w:val="21"/>
          <w:u w:val="single"/>
        </w:rPr>
        <w:t>谈判顺序：对符合开标有效性和完</w:t>
      </w:r>
      <w:r>
        <w:rPr>
          <w:rFonts w:hint="eastAsia" w:ascii="宋体" w:hAnsi="宋体" w:cs="宋体"/>
          <w:b/>
          <w:iCs/>
          <w:szCs w:val="21"/>
          <w:u w:val="single"/>
        </w:rPr>
        <w:t>整性的投标供应商，以签到的</w:t>
      </w:r>
      <w:r>
        <w:rPr>
          <w:rFonts w:hint="eastAsia" w:ascii="宋体" w:hAnsi="宋体" w:cs="宋体"/>
          <w:b/>
          <w:szCs w:val="21"/>
          <w:u w:val="single"/>
        </w:rPr>
        <w:t>逆顺序确定谈判顺序，谈判小组按顺序，分别与每位谈判响应人就价格、商务、技术等按谈判文件要求的内容进行谈判。</w:t>
      </w:r>
    </w:p>
    <w:p>
      <w:pPr>
        <w:spacing w:line="540" w:lineRule="exact"/>
        <w:ind w:firstLine="413" w:firstLineChars="196"/>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spacing w:line="540" w:lineRule="exact"/>
        <w:ind w:firstLine="420" w:firstLineChars="200"/>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spacing w:line="540" w:lineRule="exact"/>
        <w:ind w:firstLine="405" w:firstLineChars="192"/>
        <w:jc w:val="left"/>
        <w:rPr>
          <w:rFonts w:ascii="宋体" w:cs="宋体"/>
          <w:b/>
          <w:szCs w:val="21"/>
        </w:rPr>
      </w:pPr>
      <w:r>
        <w:rPr>
          <w:rFonts w:hint="eastAsia" w:ascii="宋体" w:hAnsi="宋体" w:cs="宋体"/>
          <w:b/>
          <w:szCs w:val="21"/>
        </w:rPr>
        <w:t>（六）谈判文件的初步评审</w:t>
      </w:r>
    </w:p>
    <w:p>
      <w:pPr>
        <w:spacing w:line="540" w:lineRule="exact"/>
        <w:ind w:firstLine="403" w:firstLineChars="192"/>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autoSpaceDE w:val="0"/>
        <w:autoSpaceDN w:val="0"/>
        <w:adjustRightInd w:val="0"/>
        <w:spacing w:line="540" w:lineRule="exact"/>
        <w:ind w:firstLine="420" w:firstLineChars="200"/>
        <w:outlineLvl w:val="1"/>
        <w:rPr>
          <w:rFonts w:ascii="宋体" w:hAnsi="宋体" w:cs="宋体"/>
          <w:kern w:val="0"/>
          <w:szCs w:val="21"/>
        </w:rPr>
      </w:pPr>
      <w:bookmarkStart w:id="7"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7"/>
    </w:p>
    <w:p>
      <w:pPr>
        <w:autoSpaceDE w:val="0"/>
        <w:autoSpaceDN w:val="0"/>
        <w:adjustRightInd w:val="0"/>
        <w:spacing w:line="500" w:lineRule="exact"/>
        <w:ind w:firstLine="420" w:firstLineChars="200"/>
        <w:outlineLvl w:val="1"/>
        <w:rPr>
          <w:rFonts w:ascii="宋体" w:hAnsi="宋体" w:cs="宋体"/>
          <w:kern w:val="0"/>
          <w:szCs w:val="21"/>
        </w:rPr>
      </w:pPr>
    </w:p>
    <w:tbl>
      <w:tblPr>
        <w:tblStyle w:val="24"/>
        <w:tblW w:w="9164"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77"/>
        <w:gridCol w:w="5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3812" w:type="dxa"/>
            <w:gridSpan w:val="2"/>
            <w:vAlign w:val="center"/>
          </w:tcPr>
          <w:p>
            <w:pPr>
              <w:spacing w:line="520" w:lineRule="exact"/>
              <w:jc w:val="center"/>
              <w:outlineLvl w:val="1"/>
              <w:rPr>
                <w:rFonts w:ascii="宋体" w:cs="宋体"/>
                <w:b/>
                <w:szCs w:val="21"/>
              </w:rPr>
            </w:pPr>
            <w:bookmarkStart w:id="8" w:name="_Toc5668"/>
            <w:r>
              <w:rPr>
                <w:rFonts w:hint="eastAsia" w:ascii="宋体" w:hAnsi="宋体" w:cs="宋体"/>
                <w:b/>
                <w:szCs w:val="21"/>
              </w:rPr>
              <w:t>评审因素</w:t>
            </w:r>
            <w:bookmarkEnd w:id="8"/>
          </w:p>
        </w:tc>
        <w:tc>
          <w:tcPr>
            <w:tcW w:w="5352" w:type="dxa"/>
            <w:vAlign w:val="center"/>
          </w:tcPr>
          <w:p>
            <w:pPr>
              <w:spacing w:line="520" w:lineRule="exact"/>
              <w:jc w:val="center"/>
              <w:outlineLvl w:val="1"/>
              <w:rPr>
                <w:rFonts w:ascii="宋体" w:cs="宋体"/>
                <w:b/>
                <w:szCs w:val="21"/>
              </w:rPr>
            </w:pPr>
            <w:bookmarkStart w:id="9" w:name="_Toc31334"/>
            <w:r>
              <w:rPr>
                <w:rFonts w:hint="eastAsia" w:ascii="宋体" w:hAnsi="宋体" w:cs="宋体"/>
                <w:b/>
                <w:szCs w:val="21"/>
              </w:rPr>
              <w:t>评审标准</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735" w:type="dxa"/>
            <w:vMerge w:val="restart"/>
            <w:vAlign w:val="center"/>
          </w:tcPr>
          <w:p>
            <w:pPr>
              <w:spacing w:line="520" w:lineRule="exact"/>
              <w:ind w:firstLine="105" w:firstLineChars="50"/>
              <w:outlineLvl w:val="1"/>
              <w:rPr>
                <w:rFonts w:ascii="宋体" w:cs="宋体"/>
                <w:szCs w:val="21"/>
              </w:rPr>
            </w:pPr>
            <w:bookmarkStart w:id="10" w:name="_Toc24642"/>
            <w:bookmarkStart w:id="11" w:name="OLE_LINK6" w:colFirst="2" w:colLast="2"/>
            <w:r>
              <w:rPr>
                <w:rFonts w:hint="eastAsia" w:ascii="宋体" w:hAnsi="宋体" w:cs="宋体"/>
                <w:szCs w:val="21"/>
              </w:rPr>
              <w:t>一</w:t>
            </w:r>
            <w:bookmarkEnd w:id="10"/>
          </w:p>
          <w:p>
            <w:pPr>
              <w:spacing w:line="520" w:lineRule="exact"/>
              <w:jc w:val="center"/>
              <w:outlineLvl w:val="1"/>
              <w:rPr>
                <w:rFonts w:ascii="宋体" w:cs="宋体"/>
                <w:szCs w:val="21"/>
              </w:rPr>
            </w:pPr>
            <w:bookmarkStart w:id="12" w:name="_Toc17778"/>
            <w:bookmarkStart w:id="13" w:name="OLE_LINK14"/>
            <w:r>
              <w:rPr>
                <w:rFonts w:hint="eastAsia" w:ascii="宋体" w:hAnsi="宋体" w:cs="宋体"/>
                <w:szCs w:val="21"/>
              </w:rPr>
              <w:t>资格评审标准</w:t>
            </w:r>
            <w:bookmarkEnd w:id="12"/>
            <w:bookmarkEnd w:id="13"/>
          </w:p>
        </w:tc>
        <w:tc>
          <w:tcPr>
            <w:tcW w:w="3077" w:type="dxa"/>
            <w:vAlign w:val="center"/>
          </w:tcPr>
          <w:p>
            <w:pPr>
              <w:spacing w:line="520" w:lineRule="exact"/>
              <w:jc w:val="center"/>
              <w:outlineLvl w:val="1"/>
              <w:rPr>
                <w:rFonts w:ascii="宋体" w:cs="宋体"/>
                <w:szCs w:val="21"/>
              </w:rPr>
            </w:pPr>
            <w:bookmarkStart w:id="14" w:name="_Toc9605"/>
            <w:r>
              <w:rPr>
                <w:rFonts w:hint="eastAsia" w:ascii="宋体" w:hAnsi="宋体" w:cs="宋体"/>
                <w:szCs w:val="21"/>
              </w:rPr>
              <w:t>营业执照（副本）</w:t>
            </w:r>
            <w:bookmarkEnd w:id="14"/>
          </w:p>
        </w:tc>
        <w:tc>
          <w:tcPr>
            <w:tcW w:w="5352" w:type="dxa"/>
            <w:vMerge w:val="restart"/>
            <w:vAlign w:val="center"/>
          </w:tcPr>
          <w:p>
            <w:pPr>
              <w:spacing w:line="520" w:lineRule="exact"/>
              <w:outlineLvl w:val="1"/>
              <w:rPr>
                <w:rFonts w:ascii="宋体" w:cs="宋体"/>
                <w:szCs w:val="21"/>
              </w:rPr>
            </w:pPr>
            <w:r>
              <w:rPr>
                <w:rFonts w:hint="eastAsia" w:ascii="宋体" w:cs="宋体"/>
                <w:szCs w:val="21"/>
              </w:rPr>
              <w:t>三证合一的投标供应商只需提供三证合一的营业执照</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735" w:type="dxa"/>
            <w:vMerge w:val="continue"/>
            <w:vAlign w:val="center"/>
          </w:tcPr>
          <w:p>
            <w:pPr>
              <w:spacing w:line="520" w:lineRule="exact"/>
              <w:ind w:firstLine="105" w:firstLineChars="50"/>
              <w:outlineLvl w:val="1"/>
              <w:rPr>
                <w:rFonts w:ascii="宋体" w:cs="宋体"/>
                <w:szCs w:val="21"/>
              </w:rPr>
            </w:pPr>
          </w:p>
        </w:tc>
        <w:tc>
          <w:tcPr>
            <w:tcW w:w="3077" w:type="dxa"/>
            <w:vAlign w:val="center"/>
          </w:tcPr>
          <w:p>
            <w:pPr>
              <w:spacing w:line="520" w:lineRule="exact"/>
              <w:jc w:val="center"/>
              <w:outlineLvl w:val="1"/>
              <w:rPr>
                <w:rFonts w:ascii="宋体" w:cs="宋体"/>
                <w:szCs w:val="21"/>
              </w:rPr>
            </w:pPr>
            <w:bookmarkStart w:id="15" w:name="_Toc28425"/>
            <w:r>
              <w:rPr>
                <w:rFonts w:hint="eastAsia" w:ascii="宋体" w:hAnsi="宋体" w:cs="宋体"/>
                <w:szCs w:val="21"/>
              </w:rPr>
              <w:t>税务登记证（副本）</w:t>
            </w:r>
            <w:bookmarkEnd w:id="15"/>
          </w:p>
        </w:tc>
        <w:tc>
          <w:tcPr>
            <w:tcW w:w="5352" w:type="dxa"/>
            <w:vMerge w:val="continue"/>
            <w:vAlign w:val="center"/>
          </w:tcPr>
          <w:p>
            <w:pPr>
              <w:spacing w:line="52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trPr>
        <w:tc>
          <w:tcPr>
            <w:tcW w:w="735" w:type="dxa"/>
            <w:vMerge w:val="continue"/>
            <w:vAlign w:val="center"/>
          </w:tcPr>
          <w:p>
            <w:pPr>
              <w:widowControl/>
              <w:spacing w:line="520" w:lineRule="exact"/>
              <w:jc w:val="left"/>
              <w:outlineLvl w:val="1"/>
              <w:rPr>
                <w:rFonts w:ascii="宋体" w:cs="宋体"/>
                <w:szCs w:val="21"/>
              </w:rPr>
            </w:pPr>
          </w:p>
        </w:tc>
        <w:tc>
          <w:tcPr>
            <w:tcW w:w="3077" w:type="dxa"/>
            <w:vAlign w:val="center"/>
          </w:tcPr>
          <w:p>
            <w:pPr>
              <w:spacing w:line="520" w:lineRule="exact"/>
              <w:jc w:val="center"/>
              <w:outlineLvl w:val="1"/>
              <w:rPr>
                <w:rFonts w:ascii="宋体" w:cs="宋体"/>
                <w:szCs w:val="21"/>
              </w:rPr>
            </w:pPr>
            <w:bookmarkStart w:id="16" w:name="_Toc653"/>
            <w:r>
              <w:rPr>
                <w:rFonts w:hint="eastAsia" w:ascii="宋体" w:hAnsi="宋体" w:cs="宋体"/>
                <w:szCs w:val="21"/>
              </w:rPr>
              <w:t>组织机构代码证</w:t>
            </w:r>
            <w:bookmarkEnd w:id="16"/>
            <w:r>
              <w:rPr>
                <w:rFonts w:hint="eastAsia" w:ascii="宋体" w:hAnsi="宋体" w:cs="宋体"/>
                <w:szCs w:val="21"/>
                <w:shd w:val="clear" w:color="auto" w:fill="FFFFFF"/>
              </w:rPr>
              <w:t>（副本）</w:t>
            </w:r>
          </w:p>
        </w:tc>
        <w:tc>
          <w:tcPr>
            <w:tcW w:w="5352" w:type="dxa"/>
            <w:vMerge w:val="continue"/>
            <w:vAlign w:val="center"/>
          </w:tcPr>
          <w:p>
            <w:pPr>
              <w:spacing w:line="52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35" w:type="dxa"/>
            <w:vMerge w:val="continue"/>
            <w:vAlign w:val="center"/>
          </w:tcPr>
          <w:p>
            <w:pPr>
              <w:widowControl/>
              <w:spacing w:line="520" w:lineRule="exact"/>
              <w:jc w:val="left"/>
              <w:outlineLvl w:val="1"/>
              <w:rPr>
                <w:rFonts w:ascii="宋体" w:cs="宋体"/>
                <w:szCs w:val="21"/>
              </w:rPr>
            </w:pPr>
          </w:p>
        </w:tc>
        <w:tc>
          <w:tcPr>
            <w:tcW w:w="3077" w:type="dxa"/>
            <w:vAlign w:val="center"/>
          </w:tcPr>
          <w:p>
            <w:pPr>
              <w:spacing w:line="520" w:lineRule="exact"/>
              <w:jc w:val="center"/>
              <w:outlineLvl w:val="1"/>
              <w:rPr>
                <w:rFonts w:ascii="宋体" w:cs="宋体"/>
                <w:szCs w:val="21"/>
              </w:rPr>
            </w:pPr>
            <w:bookmarkStart w:id="17" w:name="_Toc1459"/>
            <w:r>
              <w:rPr>
                <w:rFonts w:hint="eastAsia" w:ascii="宋体" w:hAnsi="宋体" w:cs="宋体"/>
                <w:szCs w:val="21"/>
              </w:rPr>
              <w:t>法人代表证明</w:t>
            </w:r>
            <w:bookmarkEnd w:id="17"/>
          </w:p>
        </w:tc>
        <w:tc>
          <w:tcPr>
            <w:tcW w:w="5352" w:type="dxa"/>
            <w:vAlign w:val="center"/>
          </w:tcPr>
          <w:p>
            <w:pPr>
              <w:spacing w:line="400" w:lineRule="exact"/>
              <w:outlineLvl w:val="1"/>
              <w:rPr>
                <w:rFonts w:ascii="宋体" w:cs="宋体"/>
                <w:szCs w:val="21"/>
              </w:rPr>
            </w:pPr>
            <w:bookmarkStart w:id="18" w:name="_Toc32322"/>
            <w:bookmarkStart w:id="19" w:name="OLE_LINK9"/>
            <w:r>
              <w:rPr>
                <w:rFonts w:hint="eastAsia" w:ascii="宋体" w:hAnsi="宋体" w:cs="宋体"/>
                <w:szCs w:val="21"/>
              </w:rPr>
              <w:t>法人代表（负责人）证明或法人授权委托书</w:t>
            </w:r>
            <w:bookmarkEnd w:id="18"/>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 w:hRule="atLeast"/>
        </w:trPr>
        <w:tc>
          <w:tcPr>
            <w:tcW w:w="735" w:type="dxa"/>
            <w:vMerge w:val="continue"/>
            <w:vAlign w:val="center"/>
          </w:tcPr>
          <w:p>
            <w:pPr>
              <w:widowControl/>
              <w:spacing w:line="520" w:lineRule="exact"/>
              <w:jc w:val="left"/>
              <w:outlineLvl w:val="1"/>
              <w:rPr>
                <w:rFonts w:ascii="宋体" w:cs="宋体"/>
                <w:szCs w:val="21"/>
              </w:rPr>
            </w:pPr>
          </w:p>
        </w:tc>
        <w:tc>
          <w:tcPr>
            <w:tcW w:w="3077" w:type="dxa"/>
            <w:vAlign w:val="center"/>
          </w:tcPr>
          <w:p>
            <w:pPr>
              <w:spacing w:line="520" w:lineRule="exact"/>
              <w:jc w:val="center"/>
              <w:outlineLvl w:val="1"/>
              <w:rPr>
                <w:rFonts w:ascii="宋体" w:cs="宋体"/>
                <w:szCs w:val="21"/>
              </w:rPr>
            </w:pPr>
            <w:bookmarkStart w:id="20" w:name="_Toc11316"/>
            <w:r>
              <w:rPr>
                <w:rFonts w:hint="eastAsia" w:ascii="宋体" w:hAnsi="宋体" w:cs="宋体"/>
                <w:szCs w:val="21"/>
              </w:rPr>
              <w:t>投标保证金</w:t>
            </w:r>
            <w:bookmarkEnd w:id="20"/>
          </w:p>
        </w:tc>
        <w:tc>
          <w:tcPr>
            <w:tcW w:w="5352" w:type="dxa"/>
            <w:vAlign w:val="center"/>
          </w:tcPr>
          <w:p>
            <w:pPr>
              <w:spacing w:line="400" w:lineRule="exact"/>
              <w:outlineLvl w:val="1"/>
              <w:rPr>
                <w:rFonts w:ascii="宋体" w:cs="宋体"/>
                <w:szCs w:val="21"/>
              </w:rPr>
            </w:pPr>
            <w:bookmarkStart w:id="21" w:name="OLE_LINK10"/>
            <w:bookmarkStart w:id="22" w:name="_Toc28081"/>
            <w:r>
              <w:rPr>
                <w:rFonts w:hint="eastAsia" w:ascii="宋体" w:hAnsi="宋体" w:cs="宋体"/>
                <w:szCs w:val="21"/>
              </w:rPr>
              <w:t>人民币</w:t>
            </w:r>
            <w:r>
              <w:rPr>
                <w:rFonts w:hint="eastAsia" w:ascii="宋体" w:hAnsi="宋体" w:cs="宋体"/>
                <w:szCs w:val="21"/>
                <w:u w:val="single"/>
              </w:rPr>
              <w:t>10</w:t>
            </w:r>
            <w:r>
              <w:rPr>
                <w:rFonts w:ascii="宋体" w:hAnsi="宋体" w:cs="宋体"/>
                <w:szCs w:val="21"/>
                <w:u w:val="single"/>
              </w:rPr>
              <w:t>00.00</w:t>
            </w:r>
            <w:r>
              <w:rPr>
                <w:rFonts w:hint="eastAsia" w:ascii="宋体" w:hAnsi="宋体" w:cs="宋体"/>
                <w:szCs w:val="21"/>
              </w:rPr>
              <w:t>元</w:t>
            </w:r>
            <w:bookmarkEnd w:id="21"/>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2" w:hRule="atLeast"/>
        </w:trPr>
        <w:tc>
          <w:tcPr>
            <w:tcW w:w="735" w:type="dxa"/>
            <w:vMerge w:val="continue"/>
            <w:vAlign w:val="center"/>
          </w:tcPr>
          <w:p>
            <w:pPr>
              <w:widowControl/>
              <w:spacing w:line="520" w:lineRule="exact"/>
              <w:jc w:val="left"/>
              <w:outlineLvl w:val="1"/>
              <w:rPr>
                <w:rFonts w:ascii="宋体" w:cs="宋体"/>
                <w:szCs w:val="21"/>
              </w:rPr>
            </w:pPr>
          </w:p>
        </w:tc>
        <w:tc>
          <w:tcPr>
            <w:tcW w:w="3077" w:type="dxa"/>
            <w:vAlign w:val="center"/>
          </w:tcPr>
          <w:p>
            <w:pPr>
              <w:spacing w:line="520" w:lineRule="exact"/>
              <w:jc w:val="center"/>
              <w:outlineLvl w:val="1"/>
              <w:rPr>
                <w:rFonts w:ascii="宋体" w:cs="宋体"/>
                <w:szCs w:val="21"/>
              </w:rPr>
            </w:pPr>
            <w:bookmarkStart w:id="23" w:name="_Toc5375"/>
            <w:r>
              <w:rPr>
                <w:rFonts w:hint="eastAsia" w:ascii="宋体" w:hAnsi="宋体" w:cs="宋体"/>
                <w:szCs w:val="21"/>
              </w:rPr>
              <w:t>资质</w:t>
            </w:r>
            <w:bookmarkEnd w:id="23"/>
          </w:p>
        </w:tc>
        <w:tc>
          <w:tcPr>
            <w:tcW w:w="5352" w:type="dxa"/>
            <w:vAlign w:val="center"/>
          </w:tcPr>
          <w:p>
            <w:pPr>
              <w:spacing w:line="340" w:lineRule="exact"/>
              <w:outlineLvl w:val="1"/>
              <w:rPr>
                <w:rFonts w:ascii="宋体" w:cs="宋体"/>
                <w:szCs w:val="21"/>
              </w:rPr>
            </w:pPr>
            <w:r>
              <w:rPr>
                <w:rFonts w:hint="eastAsia" w:ascii="宋体" w:cs="宋体"/>
                <w:szCs w:val="21"/>
              </w:rPr>
              <w:t>1、供应商必须符合《政府采购法》第二十二条之规定：</w:t>
            </w:r>
          </w:p>
          <w:p>
            <w:pPr>
              <w:spacing w:line="340" w:lineRule="exact"/>
              <w:outlineLvl w:val="1"/>
              <w:rPr>
                <w:rFonts w:ascii="宋体" w:cs="宋体"/>
                <w:szCs w:val="21"/>
              </w:rPr>
            </w:pPr>
            <w:r>
              <w:rPr>
                <w:rFonts w:hint="eastAsia" w:ascii="宋体" w:cs="宋体"/>
                <w:szCs w:val="21"/>
              </w:rPr>
              <w:t>（1）具有独立承担民事责任的能力；</w:t>
            </w:r>
          </w:p>
          <w:p>
            <w:pPr>
              <w:spacing w:line="340" w:lineRule="exact"/>
              <w:outlineLvl w:val="1"/>
              <w:rPr>
                <w:rFonts w:ascii="宋体" w:cs="宋体"/>
                <w:szCs w:val="21"/>
              </w:rPr>
            </w:pPr>
            <w:r>
              <w:rPr>
                <w:rFonts w:hint="eastAsia" w:ascii="宋体" w:cs="宋体"/>
                <w:szCs w:val="21"/>
              </w:rPr>
              <w:t>（2）具有良好的商业信誉和健全的财务会计制度；</w:t>
            </w:r>
          </w:p>
          <w:p>
            <w:pPr>
              <w:spacing w:line="340" w:lineRule="exact"/>
              <w:outlineLvl w:val="1"/>
              <w:rPr>
                <w:rFonts w:ascii="宋体" w:cs="宋体"/>
                <w:szCs w:val="21"/>
              </w:rPr>
            </w:pPr>
            <w:r>
              <w:rPr>
                <w:rFonts w:hint="eastAsia" w:ascii="宋体" w:cs="宋体"/>
                <w:szCs w:val="21"/>
              </w:rPr>
              <w:t>（3）具有履行合同所必需的设备和专业技术能力；</w:t>
            </w:r>
          </w:p>
          <w:p>
            <w:pPr>
              <w:spacing w:line="340" w:lineRule="exact"/>
              <w:outlineLvl w:val="1"/>
              <w:rPr>
                <w:rFonts w:ascii="宋体" w:cs="宋体"/>
                <w:szCs w:val="21"/>
              </w:rPr>
            </w:pPr>
            <w:r>
              <w:rPr>
                <w:rFonts w:hint="eastAsia" w:ascii="宋体" w:cs="宋体"/>
                <w:szCs w:val="21"/>
              </w:rPr>
              <w:t>（4）有依法缴纳税收和社会保障资金的良好记录；</w:t>
            </w:r>
          </w:p>
          <w:p>
            <w:pPr>
              <w:spacing w:line="340" w:lineRule="exact"/>
              <w:outlineLvl w:val="1"/>
              <w:rPr>
                <w:rFonts w:ascii="宋体" w:cs="宋体"/>
                <w:szCs w:val="21"/>
              </w:rPr>
            </w:pPr>
            <w:r>
              <w:rPr>
                <w:rFonts w:hint="eastAsia" w:ascii="宋体" w:cs="宋体"/>
                <w:szCs w:val="21"/>
              </w:rPr>
              <w:t>（5）参加政府采购活动前三年内，在经营活动中没有重大违法记录；</w:t>
            </w:r>
          </w:p>
          <w:p>
            <w:pPr>
              <w:spacing w:line="340" w:lineRule="exact"/>
              <w:outlineLvl w:val="1"/>
              <w:rPr>
                <w:rFonts w:ascii="宋体" w:cs="宋体"/>
                <w:szCs w:val="21"/>
              </w:rPr>
            </w:pPr>
            <w:r>
              <w:rPr>
                <w:rFonts w:hint="eastAsia" w:ascii="宋体" w:cs="宋体"/>
                <w:szCs w:val="21"/>
              </w:rPr>
              <w:t>（6）法律、行政法规规定的其他条件。</w:t>
            </w:r>
          </w:p>
          <w:p>
            <w:pPr>
              <w:spacing w:line="340" w:lineRule="exact"/>
              <w:outlineLvl w:val="1"/>
              <w:rPr>
                <w:rFonts w:ascii="宋体" w:cs="宋体"/>
                <w:szCs w:val="21"/>
              </w:rPr>
            </w:pPr>
            <w:r>
              <w:rPr>
                <w:rFonts w:hint="eastAsia" w:ascii="宋体" w:cs="宋体"/>
                <w:szCs w:val="21"/>
              </w:rPr>
              <w:t>2、供应商的生产或经营范围符合本项目要求,具有有效的营业执照（副本）、税务登记证（副本）、组织机构代码证（副本）（或三证合一营业执照）。</w:t>
            </w:r>
          </w:p>
          <w:p>
            <w:pPr>
              <w:spacing w:line="340" w:lineRule="exact"/>
              <w:outlineLvl w:val="1"/>
              <w:rPr>
                <w:rFonts w:ascii="宋体" w:cs="宋体"/>
                <w:szCs w:val="21"/>
              </w:rPr>
            </w:pPr>
            <w:r>
              <w:rPr>
                <w:rFonts w:hint="eastAsia" w:ascii="宋体" w:cs="宋体"/>
                <w:szCs w:val="21"/>
              </w:rPr>
              <w:t>3、</w:t>
            </w:r>
            <w:r>
              <w:rPr>
                <w:rFonts w:hint="eastAsia"/>
                <w:color w:val="000000"/>
                <w:shd w:val="clear" w:color="auto" w:fill="FFFFFF"/>
              </w:rPr>
              <w:t>本次招标不接受联合体投标。</w:t>
            </w:r>
          </w:p>
          <w:p>
            <w:pPr>
              <w:spacing w:line="340" w:lineRule="exact"/>
              <w:outlineLvl w:val="1"/>
              <w:rPr>
                <w:rFonts w:ascii="宋体" w:cs="宋体"/>
                <w:szCs w:val="21"/>
              </w:rPr>
            </w:pPr>
            <w:r>
              <w:rPr>
                <w:rFonts w:hint="eastAsia" w:ascii="宋体" w:cs="宋体"/>
                <w:szCs w:val="21"/>
              </w:rPr>
              <w:t>其他要求：（以下证件均为原件于开标时交到工作人员处，否则视为自动放弃投标，不再接收其投标文件）</w:t>
            </w:r>
          </w:p>
          <w:p>
            <w:pPr>
              <w:spacing w:line="340" w:lineRule="exact"/>
              <w:outlineLvl w:val="1"/>
              <w:rPr>
                <w:rFonts w:ascii="宋体" w:cs="宋体"/>
                <w:szCs w:val="21"/>
              </w:rPr>
            </w:pPr>
            <w:r>
              <w:rPr>
                <w:rFonts w:hint="eastAsia" w:ascii="宋体" w:cs="宋体"/>
                <w:szCs w:val="21"/>
              </w:rPr>
              <w:t>（1）法人持法定代表人身份证及身份证复印件（复印件须加盖公章）或授权委托人持法人授权委托书及本人身份证（复印件须加盖公章）。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735" w:type="dxa"/>
            <w:vMerge w:val="restart"/>
            <w:vAlign w:val="center"/>
          </w:tcPr>
          <w:p>
            <w:pPr>
              <w:spacing w:line="520" w:lineRule="exact"/>
              <w:jc w:val="center"/>
              <w:outlineLvl w:val="1"/>
              <w:rPr>
                <w:rFonts w:ascii="宋体" w:cs="宋体"/>
                <w:szCs w:val="21"/>
              </w:rPr>
            </w:pPr>
            <w:bookmarkStart w:id="24" w:name="_Toc20031"/>
            <w:r>
              <w:rPr>
                <w:rFonts w:hint="eastAsia" w:ascii="宋体" w:hAnsi="宋体" w:cs="宋体"/>
                <w:szCs w:val="21"/>
              </w:rPr>
              <w:t>二</w:t>
            </w:r>
            <w:bookmarkEnd w:id="24"/>
          </w:p>
          <w:p>
            <w:pPr>
              <w:spacing w:line="520" w:lineRule="exact"/>
              <w:jc w:val="center"/>
              <w:outlineLvl w:val="1"/>
              <w:rPr>
                <w:rFonts w:ascii="宋体" w:cs="宋体"/>
                <w:szCs w:val="21"/>
              </w:rPr>
            </w:pPr>
            <w:bookmarkStart w:id="25" w:name="_Toc29332"/>
            <w:bookmarkStart w:id="26" w:name="OLE_LINK15"/>
            <w:r>
              <w:rPr>
                <w:rFonts w:hint="eastAsia" w:ascii="宋体" w:hAnsi="宋体" w:cs="宋体"/>
                <w:szCs w:val="21"/>
              </w:rPr>
              <w:t>形式评审标准</w:t>
            </w:r>
            <w:bookmarkEnd w:id="25"/>
            <w:bookmarkEnd w:id="26"/>
          </w:p>
        </w:tc>
        <w:tc>
          <w:tcPr>
            <w:tcW w:w="3077" w:type="dxa"/>
            <w:vAlign w:val="center"/>
          </w:tcPr>
          <w:p>
            <w:pPr>
              <w:spacing w:line="520" w:lineRule="exact"/>
              <w:jc w:val="center"/>
              <w:outlineLvl w:val="1"/>
              <w:rPr>
                <w:rFonts w:ascii="宋体" w:cs="宋体"/>
                <w:szCs w:val="21"/>
              </w:rPr>
            </w:pPr>
            <w:bookmarkStart w:id="27" w:name="_Toc25055"/>
            <w:r>
              <w:rPr>
                <w:rFonts w:hint="eastAsia" w:ascii="宋体" w:hAnsi="宋体" w:cs="宋体"/>
                <w:szCs w:val="21"/>
              </w:rPr>
              <w:t>投标供应商名称</w:t>
            </w:r>
            <w:bookmarkEnd w:id="27"/>
          </w:p>
        </w:tc>
        <w:tc>
          <w:tcPr>
            <w:tcW w:w="5352" w:type="dxa"/>
            <w:vAlign w:val="center"/>
          </w:tcPr>
          <w:p>
            <w:pPr>
              <w:spacing w:line="520" w:lineRule="exact"/>
              <w:outlineLvl w:val="1"/>
              <w:rPr>
                <w:rFonts w:ascii="宋体" w:cs="宋体"/>
                <w:szCs w:val="21"/>
              </w:rPr>
            </w:pPr>
            <w:bookmarkStart w:id="28" w:name="_Toc8015"/>
            <w:r>
              <w:rPr>
                <w:rFonts w:hint="eastAsia" w:ascii="宋体" w:hAnsi="宋体" w:cs="宋体"/>
                <w:szCs w:val="21"/>
              </w:rPr>
              <w:t>与营业执照等证件一致</w:t>
            </w:r>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735" w:type="dxa"/>
            <w:vMerge w:val="continue"/>
            <w:vAlign w:val="center"/>
          </w:tcPr>
          <w:p>
            <w:pPr>
              <w:spacing w:line="520" w:lineRule="exact"/>
              <w:jc w:val="center"/>
              <w:outlineLvl w:val="1"/>
              <w:rPr>
                <w:rFonts w:ascii="宋体"/>
                <w:szCs w:val="21"/>
              </w:rPr>
            </w:pPr>
          </w:p>
        </w:tc>
        <w:tc>
          <w:tcPr>
            <w:tcW w:w="3077" w:type="dxa"/>
            <w:vAlign w:val="center"/>
          </w:tcPr>
          <w:p>
            <w:pPr>
              <w:spacing w:line="520" w:lineRule="exact"/>
              <w:ind w:firstLine="630" w:firstLineChars="300"/>
              <w:outlineLvl w:val="1"/>
              <w:rPr>
                <w:rFonts w:ascii="宋体"/>
                <w:szCs w:val="21"/>
              </w:rPr>
            </w:pPr>
            <w:bookmarkStart w:id="29" w:name="_Toc9339"/>
            <w:r>
              <w:rPr>
                <w:rFonts w:hint="eastAsia" w:ascii="宋体" w:hAnsi="宋体"/>
                <w:szCs w:val="21"/>
              </w:rPr>
              <w:t>谈判文件</w:t>
            </w:r>
            <w:bookmarkEnd w:id="29"/>
          </w:p>
        </w:tc>
        <w:tc>
          <w:tcPr>
            <w:tcW w:w="5352" w:type="dxa"/>
            <w:vAlign w:val="center"/>
          </w:tcPr>
          <w:p>
            <w:pPr>
              <w:spacing w:line="520" w:lineRule="exact"/>
              <w:outlineLvl w:val="1"/>
              <w:rPr>
                <w:rFonts w:ascii="宋体"/>
                <w:szCs w:val="21"/>
              </w:rPr>
            </w:pPr>
            <w:bookmarkStart w:id="30" w:name="_Toc32303"/>
            <w:bookmarkStart w:id="31" w:name="OLE_LINK16"/>
            <w:r>
              <w:rPr>
                <w:rFonts w:hint="eastAsia" w:ascii="宋体" w:hAnsi="宋体"/>
                <w:kern w:val="0"/>
                <w:szCs w:val="21"/>
              </w:rPr>
              <w:t>按照谈判文件规定要求密封、签署、盖章的</w:t>
            </w:r>
            <w:bookmarkEnd w:id="30"/>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735" w:type="dxa"/>
            <w:vMerge w:val="continue"/>
            <w:vAlign w:val="center"/>
          </w:tcPr>
          <w:p>
            <w:pPr>
              <w:widowControl/>
              <w:spacing w:line="520" w:lineRule="exact"/>
              <w:jc w:val="left"/>
              <w:outlineLvl w:val="1"/>
              <w:rPr>
                <w:rFonts w:ascii="宋体"/>
                <w:szCs w:val="21"/>
              </w:rPr>
            </w:pPr>
          </w:p>
        </w:tc>
        <w:tc>
          <w:tcPr>
            <w:tcW w:w="3077" w:type="dxa"/>
            <w:vAlign w:val="center"/>
          </w:tcPr>
          <w:p>
            <w:pPr>
              <w:spacing w:line="520" w:lineRule="exact"/>
              <w:jc w:val="center"/>
              <w:outlineLvl w:val="1"/>
              <w:rPr>
                <w:rFonts w:ascii="宋体"/>
                <w:szCs w:val="21"/>
              </w:rPr>
            </w:pPr>
            <w:bookmarkStart w:id="32" w:name="_Toc4182"/>
            <w:r>
              <w:rPr>
                <w:rFonts w:hint="eastAsia" w:ascii="宋体" w:hAnsi="宋体"/>
                <w:szCs w:val="21"/>
              </w:rPr>
              <w:t>响应性谈判文件格式</w:t>
            </w:r>
            <w:bookmarkEnd w:id="32"/>
          </w:p>
        </w:tc>
        <w:tc>
          <w:tcPr>
            <w:tcW w:w="5352" w:type="dxa"/>
            <w:vAlign w:val="center"/>
          </w:tcPr>
          <w:p>
            <w:pPr>
              <w:spacing w:line="520" w:lineRule="exact"/>
              <w:outlineLvl w:val="1"/>
              <w:rPr>
                <w:rFonts w:ascii="宋体"/>
                <w:szCs w:val="21"/>
              </w:rPr>
            </w:pPr>
            <w:bookmarkStart w:id="33" w:name="_Toc11085"/>
            <w:bookmarkStart w:id="34" w:name="OLE_LINK17"/>
            <w:r>
              <w:rPr>
                <w:rFonts w:hint="eastAsia" w:ascii="宋体" w:hAnsi="宋体"/>
                <w:szCs w:val="21"/>
              </w:rPr>
              <w:t>基本符合谈判文件格式要求</w:t>
            </w:r>
            <w:bookmarkEnd w:id="33"/>
            <w:bookmarkEnd w:id="3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735" w:type="dxa"/>
            <w:vMerge w:val="continue"/>
            <w:vAlign w:val="center"/>
          </w:tcPr>
          <w:p>
            <w:pPr>
              <w:spacing w:line="520" w:lineRule="exact"/>
              <w:jc w:val="center"/>
              <w:outlineLvl w:val="1"/>
              <w:rPr>
                <w:rFonts w:ascii="宋体"/>
                <w:szCs w:val="21"/>
              </w:rPr>
            </w:pPr>
          </w:p>
        </w:tc>
        <w:tc>
          <w:tcPr>
            <w:tcW w:w="3077" w:type="dxa"/>
            <w:vAlign w:val="center"/>
          </w:tcPr>
          <w:p>
            <w:pPr>
              <w:spacing w:line="520" w:lineRule="exact"/>
              <w:jc w:val="center"/>
              <w:outlineLvl w:val="1"/>
              <w:rPr>
                <w:rFonts w:ascii="宋体"/>
                <w:szCs w:val="21"/>
              </w:rPr>
            </w:pPr>
            <w:bookmarkStart w:id="35" w:name="_Toc6298"/>
            <w:r>
              <w:rPr>
                <w:rFonts w:hint="eastAsia" w:ascii="宋体" w:hAnsi="宋体"/>
                <w:szCs w:val="21"/>
              </w:rPr>
              <w:t>供货期</w:t>
            </w:r>
            <w:bookmarkEnd w:id="35"/>
          </w:p>
        </w:tc>
        <w:tc>
          <w:tcPr>
            <w:tcW w:w="5352" w:type="dxa"/>
            <w:vAlign w:val="center"/>
          </w:tcPr>
          <w:p>
            <w:pPr>
              <w:spacing w:line="520" w:lineRule="exact"/>
              <w:outlineLvl w:val="1"/>
              <w:rPr>
                <w:rFonts w:ascii="宋体"/>
                <w:szCs w:val="21"/>
              </w:rPr>
            </w:pPr>
            <w:bookmarkStart w:id="36" w:name="_Toc16076"/>
            <w:bookmarkStart w:id="37" w:name="OLE_LINK18"/>
            <w:r>
              <w:rPr>
                <w:rFonts w:hint="eastAsia" w:ascii="宋体" w:hAnsi="宋体"/>
                <w:szCs w:val="21"/>
              </w:rPr>
              <w:t>自签订合同之日起15天</w:t>
            </w:r>
            <w:bookmarkEnd w:id="36"/>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735" w:type="dxa"/>
            <w:vMerge w:val="continue"/>
            <w:vAlign w:val="center"/>
          </w:tcPr>
          <w:p>
            <w:pPr>
              <w:spacing w:line="520" w:lineRule="exact"/>
              <w:jc w:val="center"/>
              <w:outlineLvl w:val="1"/>
              <w:rPr>
                <w:rFonts w:ascii="宋体"/>
                <w:szCs w:val="21"/>
              </w:rPr>
            </w:pPr>
          </w:p>
        </w:tc>
        <w:tc>
          <w:tcPr>
            <w:tcW w:w="3077" w:type="dxa"/>
            <w:vAlign w:val="center"/>
          </w:tcPr>
          <w:p>
            <w:pPr>
              <w:spacing w:line="520" w:lineRule="exact"/>
              <w:jc w:val="center"/>
              <w:outlineLvl w:val="1"/>
              <w:rPr>
                <w:rFonts w:ascii="宋体"/>
                <w:szCs w:val="21"/>
              </w:rPr>
            </w:pPr>
            <w:bookmarkStart w:id="38" w:name="_Toc18395"/>
            <w:r>
              <w:rPr>
                <w:rFonts w:hint="eastAsia" w:ascii="宋体" w:hAnsi="宋体"/>
                <w:szCs w:val="21"/>
              </w:rPr>
              <w:t>报价</w:t>
            </w:r>
            <w:bookmarkEnd w:id="38"/>
          </w:p>
        </w:tc>
        <w:tc>
          <w:tcPr>
            <w:tcW w:w="5352" w:type="dxa"/>
            <w:vAlign w:val="center"/>
          </w:tcPr>
          <w:p>
            <w:pPr>
              <w:spacing w:line="520" w:lineRule="exact"/>
              <w:outlineLvl w:val="1"/>
              <w:rPr>
                <w:rFonts w:ascii="宋体"/>
                <w:szCs w:val="21"/>
              </w:rPr>
            </w:pPr>
            <w:bookmarkStart w:id="39" w:name="_Toc10220"/>
            <w:bookmarkStart w:id="40" w:name="OLE_LINK19"/>
            <w:r>
              <w:rPr>
                <w:rFonts w:hint="eastAsia" w:ascii="宋体" w:hAnsi="宋体"/>
                <w:szCs w:val="21"/>
              </w:rPr>
              <w:t>只能有一个有效报价，且不能超过招标控制价</w:t>
            </w:r>
            <w:bookmarkEnd w:id="39"/>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35" w:type="dxa"/>
            <w:vMerge w:val="continue"/>
            <w:vAlign w:val="center"/>
          </w:tcPr>
          <w:p>
            <w:pPr>
              <w:spacing w:line="520" w:lineRule="exact"/>
              <w:jc w:val="center"/>
              <w:outlineLvl w:val="1"/>
              <w:rPr>
                <w:rFonts w:ascii="宋体"/>
                <w:szCs w:val="21"/>
              </w:rPr>
            </w:pPr>
          </w:p>
        </w:tc>
        <w:tc>
          <w:tcPr>
            <w:tcW w:w="3077" w:type="dxa"/>
            <w:vAlign w:val="center"/>
          </w:tcPr>
          <w:p>
            <w:pPr>
              <w:spacing w:line="520" w:lineRule="exact"/>
              <w:jc w:val="center"/>
              <w:outlineLvl w:val="1"/>
              <w:rPr>
                <w:rFonts w:ascii="宋体"/>
                <w:szCs w:val="21"/>
              </w:rPr>
            </w:pPr>
            <w:bookmarkStart w:id="41" w:name="_Toc2925"/>
            <w:r>
              <w:rPr>
                <w:rFonts w:hint="eastAsia" w:ascii="宋体" w:hAnsi="宋体"/>
                <w:szCs w:val="21"/>
              </w:rPr>
              <w:t>投标保证金</w:t>
            </w:r>
            <w:bookmarkEnd w:id="41"/>
          </w:p>
        </w:tc>
        <w:tc>
          <w:tcPr>
            <w:tcW w:w="5352" w:type="dxa"/>
            <w:vAlign w:val="center"/>
          </w:tcPr>
          <w:p>
            <w:pPr>
              <w:spacing w:line="520" w:lineRule="exact"/>
              <w:outlineLvl w:val="1"/>
              <w:rPr>
                <w:rFonts w:ascii="宋体"/>
                <w:szCs w:val="21"/>
              </w:rPr>
            </w:pPr>
            <w:bookmarkStart w:id="42" w:name="OLE_LINK20"/>
            <w:bookmarkStart w:id="43" w:name="_Toc13694"/>
            <w:r>
              <w:rPr>
                <w:rFonts w:hint="eastAsia" w:ascii="宋体" w:hAnsi="宋体"/>
                <w:szCs w:val="21"/>
              </w:rPr>
              <w:t>符合本谈判文件“谈判须知表”有关规定</w:t>
            </w:r>
            <w:bookmarkEnd w:id="42"/>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735" w:type="dxa"/>
            <w:vMerge w:val="continue"/>
            <w:vAlign w:val="center"/>
          </w:tcPr>
          <w:p>
            <w:pPr>
              <w:spacing w:line="520" w:lineRule="exact"/>
              <w:jc w:val="center"/>
              <w:outlineLvl w:val="1"/>
              <w:rPr>
                <w:rFonts w:ascii="宋体"/>
                <w:szCs w:val="21"/>
              </w:rPr>
            </w:pPr>
          </w:p>
        </w:tc>
        <w:tc>
          <w:tcPr>
            <w:tcW w:w="3077" w:type="dxa"/>
            <w:vAlign w:val="center"/>
          </w:tcPr>
          <w:p>
            <w:pPr>
              <w:spacing w:line="520" w:lineRule="exact"/>
              <w:jc w:val="center"/>
              <w:outlineLvl w:val="1"/>
              <w:rPr>
                <w:rFonts w:ascii="宋体"/>
                <w:szCs w:val="21"/>
              </w:rPr>
            </w:pPr>
            <w:bookmarkStart w:id="44" w:name="_Toc23168"/>
            <w:r>
              <w:rPr>
                <w:rFonts w:hint="eastAsia" w:ascii="宋体" w:hAnsi="宋体"/>
                <w:szCs w:val="21"/>
              </w:rPr>
              <w:t>投标有效期</w:t>
            </w:r>
            <w:bookmarkEnd w:id="44"/>
          </w:p>
        </w:tc>
        <w:tc>
          <w:tcPr>
            <w:tcW w:w="5352" w:type="dxa"/>
            <w:vAlign w:val="center"/>
          </w:tcPr>
          <w:p>
            <w:pPr>
              <w:spacing w:line="520" w:lineRule="exact"/>
              <w:outlineLvl w:val="1"/>
              <w:rPr>
                <w:rFonts w:ascii="宋体"/>
                <w:szCs w:val="21"/>
              </w:rPr>
            </w:pPr>
            <w:bookmarkStart w:id="45" w:name="OLE_LINK21"/>
            <w:bookmarkStart w:id="46" w:name="_Toc24330"/>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rPr>
              <w:t>日历天</w:t>
            </w:r>
            <w:bookmarkEnd w:id="45"/>
            <w:bookmarkEnd w:id="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735" w:type="dxa"/>
            <w:vMerge w:val="continue"/>
            <w:vAlign w:val="center"/>
          </w:tcPr>
          <w:p>
            <w:pPr>
              <w:widowControl/>
              <w:spacing w:line="520" w:lineRule="exact"/>
              <w:jc w:val="left"/>
              <w:outlineLvl w:val="1"/>
              <w:rPr>
                <w:rFonts w:ascii="宋体"/>
                <w:szCs w:val="21"/>
              </w:rPr>
            </w:pPr>
          </w:p>
        </w:tc>
        <w:tc>
          <w:tcPr>
            <w:tcW w:w="3077" w:type="dxa"/>
            <w:vAlign w:val="center"/>
          </w:tcPr>
          <w:p>
            <w:pPr>
              <w:spacing w:line="400" w:lineRule="exact"/>
              <w:jc w:val="center"/>
              <w:outlineLvl w:val="1"/>
              <w:rPr>
                <w:rFonts w:ascii="宋体"/>
                <w:szCs w:val="21"/>
              </w:rPr>
            </w:pPr>
            <w:bookmarkStart w:id="47" w:name="_Toc7980"/>
            <w:r>
              <w:rPr>
                <w:rFonts w:hint="eastAsia" w:ascii="宋体" w:hAnsi="宋体"/>
                <w:szCs w:val="21"/>
              </w:rPr>
              <w:t>谈判文件的其他响应</w:t>
            </w:r>
            <w:bookmarkEnd w:id="47"/>
          </w:p>
        </w:tc>
        <w:tc>
          <w:tcPr>
            <w:tcW w:w="5352" w:type="dxa"/>
            <w:vAlign w:val="center"/>
          </w:tcPr>
          <w:p>
            <w:pPr>
              <w:spacing w:line="400" w:lineRule="exact"/>
              <w:outlineLvl w:val="1"/>
              <w:rPr>
                <w:rFonts w:ascii="宋体"/>
                <w:szCs w:val="21"/>
              </w:rPr>
            </w:pPr>
            <w:bookmarkStart w:id="48" w:name="OLE_LINK22"/>
            <w:bookmarkStart w:id="49" w:name="_Toc15410"/>
            <w:r>
              <w:rPr>
                <w:rFonts w:hint="eastAsia" w:ascii="宋体" w:hAnsi="宋体"/>
                <w:szCs w:val="21"/>
              </w:rPr>
              <w:t>符合法律、法规和竞争性谈判文件中规定的其他实质性要求的</w:t>
            </w:r>
            <w:bookmarkEnd w:id="48"/>
            <w:bookmarkEnd w:id="49"/>
          </w:p>
        </w:tc>
      </w:tr>
    </w:tbl>
    <w:p>
      <w:pPr>
        <w:autoSpaceDE w:val="0"/>
        <w:autoSpaceDN w:val="0"/>
        <w:adjustRightInd w:val="0"/>
        <w:spacing w:line="520" w:lineRule="exact"/>
        <w:ind w:firstLine="420" w:firstLineChars="200"/>
        <w:outlineLvl w:val="1"/>
        <w:rPr>
          <w:rFonts w:ascii="宋体" w:cs="宋体"/>
          <w:kern w:val="0"/>
          <w:szCs w:val="21"/>
        </w:rPr>
      </w:pPr>
      <w:bookmarkStart w:id="50" w:name="_Toc14546"/>
      <w:r>
        <w:rPr>
          <w:rFonts w:hint="eastAsia" w:ascii="宋体" w:hAnsi="宋体" w:cs="宋体"/>
          <w:kern w:val="0"/>
          <w:szCs w:val="21"/>
        </w:rPr>
        <w:t>谈判小组依据以上初步评审标准对谈判文件进行初步评审。有一项不符合评审标准的，作无效投标处理。</w:t>
      </w:r>
      <w:bookmarkEnd w:id="50"/>
    </w:p>
    <w:p>
      <w:pPr>
        <w:spacing w:line="360" w:lineRule="exact"/>
        <w:ind w:firstLine="413" w:firstLineChars="196"/>
        <w:jc w:val="left"/>
        <w:rPr>
          <w:rFonts w:ascii="宋体" w:hAnsi="宋体" w:cs="宋体"/>
          <w:b/>
          <w:szCs w:val="21"/>
        </w:rPr>
      </w:pPr>
      <w:r>
        <w:rPr>
          <w:rFonts w:hint="eastAsia" w:ascii="宋体" w:hAnsi="宋体" w:cs="宋体"/>
          <w:b/>
          <w:szCs w:val="21"/>
        </w:rPr>
        <w:t>（七）谈   判</w:t>
      </w:r>
    </w:p>
    <w:p>
      <w:pPr>
        <w:spacing w:line="360" w:lineRule="exact"/>
        <w:ind w:firstLine="313"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360" w:lineRule="exact"/>
        <w:ind w:firstLine="313"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360" w:lineRule="exact"/>
        <w:ind w:firstLine="314"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360" w:lineRule="exact"/>
        <w:ind w:firstLine="313" w:firstLineChars="149"/>
        <w:rPr>
          <w:rFonts w:ascii="宋体" w:hAnsi="宋体" w:cs="宋体"/>
          <w:b/>
          <w:szCs w:val="21"/>
          <w:lang w:val="zh-CN"/>
        </w:rPr>
      </w:pPr>
      <w:r>
        <w:rPr>
          <w:rFonts w:hint="eastAsia" w:ascii="宋体" w:hAnsi="宋体" w:cs="宋体"/>
          <w:bCs/>
          <w:szCs w:val="21"/>
          <w:lang w:val="zh-CN"/>
        </w:rPr>
        <w:t xml:space="preserve">采用最低评标价法，即在全部满足谈判文件实质性要求的前提下，依据统一的价格要素评定最低报价，以提出最低报价的投标人作为成交供应商的评标方法。    </w:t>
      </w:r>
    </w:p>
    <w:p>
      <w:pPr>
        <w:spacing w:line="360" w:lineRule="exact"/>
        <w:ind w:firstLine="314" w:firstLineChars="149"/>
        <w:rPr>
          <w:rFonts w:ascii="宋体" w:hAnsi="宋体" w:cs="宋体"/>
          <w:b/>
          <w:szCs w:val="21"/>
        </w:rPr>
      </w:pPr>
      <w:r>
        <w:rPr>
          <w:rFonts w:hint="eastAsia" w:ascii="宋体" w:hAnsi="宋体" w:cs="宋体"/>
          <w:b/>
          <w:szCs w:val="21"/>
        </w:rPr>
        <w:t>（九）推荐和确定成交供应商</w:t>
      </w:r>
    </w:p>
    <w:p>
      <w:pPr>
        <w:spacing w:line="360" w:lineRule="exact"/>
        <w:ind w:firstLine="313" w:firstLineChars="149"/>
        <w:rPr>
          <w:rFonts w:ascii="宋体" w:hAnsi="宋体" w:cs="宋体"/>
          <w:bCs/>
          <w:szCs w:val="21"/>
        </w:rPr>
      </w:pPr>
      <w:r>
        <w:rPr>
          <w:rFonts w:hint="eastAsia" w:ascii="宋体" w:hAnsi="宋体" w:cs="宋体"/>
          <w:bCs/>
          <w:szCs w:val="21"/>
        </w:rPr>
        <w:t>根据评审标准，按有效投标报价由低到高顺序推荐1名成交供应商。报价相同的，按技术指标优劣顺序排列。谈判小组讨论通过评审，并编写评标报告。</w:t>
      </w:r>
    </w:p>
    <w:p>
      <w:pPr>
        <w:spacing w:line="360" w:lineRule="exact"/>
        <w:ind w:firstLine="314" w:firstLineChars="149"/>
        <w:rPr>
          <w:rFonts w:ascii="宋体" w:cs="宋体"/>
          <w:b/>
          <w:szCs w:val="21"/>
        </w:rPr>
      </w:pPr>
      <w:r>
        <w:rPr>
          <w:rFonts w:hint="eastAsia" w:ascii="宋体" w:hAnsi="宋体" w:cs="宋体"/>
          <w:b/>
          <w:szCs w:val="21"/>
        </w:rPr>
        <w:t>（十）谈判结果的公示</w:t>
      </w:r>
    </w:p>
    <w:p>
      <w:pPr>
        <w:spacing w:line="360" w:lineRule="exact"/>
        <w:ind w:firstLine="420" w:firstLineChars="200"/>
        <w:rPr>
          <w:rFonts w:ascii="宋体" w:cs="宋体"/>
          <w:szCs w:val="21"/>
        </w:rPr>
      </w:pPr>
      <w:r>
        <w:rPr>
          <w:rFonts w:hint="eastAsia" w:ascii="宋体" w:hAnsi="宋体" w:cs="宋体"/>
          <w:szCs w:val="21"/>
        </w:rPr>
        <w:t>谈判结束后，谈判结果将在《河南省政府采购网》、《温县公共资源交易中心网》上公示，同时向中标供应商发放成交通知书。</w:t>
      </w:r>
    </w:p>
    <w:p>
      <w:pPr>
        <w:spacing w:line="360" w:lineRule="exact"/>
        <w:ind w:firstLine="316" w:firstLineChars="150"/>
        <w:rPr>
          <w:rFonts w:ascii="宋体" w:cs="宋体"/>
          <w:b/>
          <w:szCs w:val="21"/>
        </w:rPr>
      </w:pPr>
      <w:r>
        <w:rPr>
          <w:rFonts w:hint="eastAsia" w:ascii="宋体" w:hAnsi="宋体" w:cs="宋体"/>
          <w:b/>
          <w:szCs w:val="21"/>
        </w:rPr>
        <w:t>（十一）成交合同的签订</w:t>
      </w:r>
    </w:p>
    <w:p>
      <w:pPr>
        <w:spacing w:line="36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360" w:lineRule="exact"/>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360" w:lineRule="exact"/>
        <w:ind w:firstLine="316"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360" w:lineRule="exact"/>
        <w:ind w:firstLine="413"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autoSpaceDE w:val="0"/>
        <w:autoSpaceDN w:val="0"/>
        <w:adjustRightInd w:val="0"/>
        <w:spacing w:line="360" w:lineRule="exact"/>
        <w:ind w:firstLine="413" w:firstLineChars="196"/>
        <w:rPr>
          <w:rFonts w:ascii="宋体" w:cs="宋体"/>
          <w:b/>
          <w:szCs w:val="21"/>
        </w:rPr>
      </w:pPr>
      <w:r>
        <w:rPr>
          <w:rFonts w:hint="eastAsia" w:ascii="宋体" w:hAnsi="宋体" w:cs="宋体"/>
          <w:b/>
          <w:szCs w:val="21"/>
        </w:rPr>
        <w:t>（十五）其他补充内容</w:t>
      </w:r>
    </w:p>
    <w:p>
      <w:pPr>
        <w:autoSpaceDE w:val="0"/>
        <w:autoSpaceDN w:val="0"/>
        <w:adjustRightInd w:val="0"/>
        <w:spacing w:line="360" w:lineRule="exact"/>
        <w:ind w:firstLine="420" w:firstLineChars="200"/>
        <w:rPr>
          <w:rFonts w:asci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40" w:lineRule="exact"/>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2"/>
        </w:numPr>
        <w:tabs>
          <w:tab w:val="left" w:pos="0"/>
        </w:tabs>
        <w:spacing w:before="240" w:line="440" w:lineRule="exact"/>
        <w:ind w:left="-178" w:leftChars="-85" w:firstLine="128" w:firstLineChars="40"/>
        <w:rPr>
          <w:rFonts w:ascii="宋体" w:eastAsia="宋体" w:cs="宋体"/>
          <w:sz w:val="32"/>
          <w:szCs w:val="32"/>
        </w:rPr>
      </w:pPr>
      <w:bookmarkStart w:id="51" w:name="_Toc399835131"/>
      <w:bookmarkStart w:id="52" w:name="_Toc17422"/>
      <w:r>
        <w:rPr>
          <w:rFonts w:hint="eastAsia" w:ascii="宋体" w:eastAsia="宋体" w:cs="宋体"/>
          <w:sz w:val="32"/>
          <w:szCs w:val="32"/>
        </w:rPr>
        <w:t>招标项目内容和参数及服务要求</w:t>
      </w:r>
      <w:bookmarkEnd w:id="51"/>
      <w:bookmarkEnd w:id="52"/>
    </w:p>
    <w:p>
      <w:pPr>
        <w:rPr>
          <w:rFonts w:ascii="宋体" w:cs="宋体"/>
          <w:b/>
          <w:bCs/>
          <w:szCs w:val="21"/>
        </w:rPr>
      </w:pPr>
    </w:p>
    <w:p>
      <w:pPr>
        <w:rPr>
          <w:b/>
          <w:bCs/>
        </w:rPr>
      </w:pPr>
      <w:r>
        <w:rPr>
          <w:rFonts w:hint="eastAsia" w:ascii="宋体" w:cs="宋体"/>
          <w:b/>
          <w:bCs/>
          <w:szCs w:val="21"/>
        </w:rPr>
        <w:t>本项目采购设备内容及参数要求如下：</w:t>
      </w:r>
    </w:p>
    <w:tbl>
      <w:tblPr>
        <w:tblStyle w:val="25"/>
        <w:tblW w:w="7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20"/>
        <w:gridCol w:w="1144"/>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序号</w:t>
            </w:r>
          </w:p>
        </w:tc>
        <w:tc>
          <w:tcPr>
            <w:tcW w:w="3920" w:type="dxa"/>
          </w:tcPr>
          <w:p>
            <w:pPr>
              <w:spacing w:line="400" w:lineRule="exact"/>
              <w:jc w:val="center"/>
              <w:rPr>
                <w:rFonts w:ascii="宋体" w:hAnsi="宋体"/>
                <w:sz w:val="18"/>
                <w:szCs w:val="18"/>
              </w:rPr>
            </w:pPr>
            <w:r>
              <w:rPr>
                <w:rFonts w:hint="eastAsia" w:ascii="宋体" w:hAnsi="宋体"/>
                <w:sz w:val="18"/>
                <w:szCs w:val="18"/>
              </w:rPr>
              <w:t>名称</w:t>
            </w:r>
          </w:p>
        </w:tc>
        <w:tc>
          <w:tcPr>
            <w:tcW w:w="1144" w:type="dxa"/>
          </w:tcPr>
          <w:p>
            <w:pPr>
              <w:spacing w:line="400" w:lineRule="exact"/>
              <w:jc w:val="center"/>
              <w:rPr>
                <w:rFonts w:ascii="宋体" w:hAnsi="宋体"/>
                <w:sz w:val="18"/>
                <w:szCs w:val="18"/>
              </w:rPr>
            </w:pPr>
            <w:r>
              <w:rPr>
                <w:rFonts w:hint="eastAsia" w:ascii="宋体" w:hAnsi="宋体"/>
                <w:sz w:val="18"/>
                <w:szCs w:val="18"/>
              </w:rPr>
              <w:t>单位</w:t>
            </w:r>
          </w:p>
        </w:tc>
        <w:tc>
          <w:tcPr>
            <w:tcW w:w="1164" w:type="dxa"/>
          </w:tcPr>
          <w:p>
            <w:pPr>
              <w:spacing w:line="400" w:lineRule="exact"/>
              <w:jc w:val="center"/>
              <w:rPr>
                <w:rFonts w:ascii="宋体" w:hAnsi="宋体"/>
                <w:sz w:val="18"/>
                <w:szCs w:val="18"/>
              </w:rPr>
            </w:pPr>
            <w:r>
              <w:rPr>
                <w:rFonts w:hint="eastAsia" w:ascii="宋体" w:hAnsi="宋体"/>
                <w:sz w:val="18"/>
                <w:szCs w:val="1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1</w:t>
            </w:r>
          </w:p>
        </w:tc>
        <w:tc>
          <w:tcPr>
            <w:tcW w:w="3920" w:type="dxa"/>
          </w:tcPr>
          <w:p>
            <w:pPr>
              <w:spacing w:line="400" w:lineRule="exact"/>
              <w:rPr>
                <w:rFonts w:ascii="宋体" w:hAnsi="宋体"/>
                <w:sz w:val="18"/>
                <w:szCs w:val="18"/>
              </w:rPr>
            </w:pPr>
            <w:r>
              <w:rPr>
                <w:rFonts w:hint="eastAsia" w:ascii="宋体" w:hAnsi="宋体"/>
                <w:sz w:val="18"/>
                <w:szCs w:val="18"/>
              </w:rPr>
              <w:t>公共场所检测系统</w:t>
            </w:r>
          </w:p>
        </w:tc>
        <w:tc>
          <w:tcPr>
            <w:tcW w:w="1144" w:type="dxa"/>
          </w:tcPr>
          <w:p>
            <w:pPr>
              <w:spacing w:line="400" w:lineRule="exact"/>
              <w:jc w:val="center"/>
              <w:rPr>
                <w:rFonts w:ascii="宋体" w:hAnsi="宋体"/>
                <w:sz w:val="18"/>
                <w:szCs w:val="18"/>
              </w:rPr>
            </w:pPr>
            <w:r>
              <w:rPr>
                <w:rFonts w:hint="eastAsia" w:ascii="宋体" w:hAnsi="宋体"/>
                <w:sz w:val="18"/>
                <w:szCs w:val="18"/>
              </w:rPr>
              <w:t>套</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2</w:t>
            </w:r>
          </w:p>
        </w:tc>
        <w:tc>
          <w:tcPr>
            <w:tcW w:w="3920" w:type="dxa"/>
          </w:tcPr>
          <w:p>
            <w:pPr>
              <w:spacing w:line="400" w:lineRule="exact"/>
              <w:rPr>
                <w:rFonts w:ascii="宋体" w:hAnsi="宋体"/>
                <w:sz w:val="18"/>
                <w:szCs w:val="18"/>
              </w:rPr>
            </w:pPr>
            <w:r>
              <w:rPr>
                <w:rFonts w:hint="eastAsia" w:ascii="宋体" w:hAnsi="宋体"/>
                <w:sz w:val="18"/>
                <w:szCs w:val="18"/>
              </w:rPr>
              <w:t>氨气检测仪</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3</w:t>
            </w:r>
          </w:p>
        </w:tc>
        <w:tc>
          <w:tcPr>
            <w:tcW w:w="3920" w:type="dxa"/>
          </w:tcPr>
          <w:p>
            <w:pPr>
              <w:spacing w:line="400" w:lineRule="exact"/>
              <w:rPr>
                <w:rFonts w:ascii="宋体" w:hAnsi="宋体"/>
                <w:sz w:val="18"/>
                <w:szCs w:val="18"/>
              </w:rPr>
            </w:pPr>
            <w:r>
              <w:rPr>
                <w:rFonts w:hint="eastAsia" w:ascii="宋体" w:hAnsi="宋体"/>
                <w:sz w:val="18"/>
                <w:szCs w:val="18"/>
              </w:rPr>
              <w:t>便携式尿素检测仪</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4</w:t>
            </w:r>
          </w:p>
        </w:tc>
        <w:tc>
          <w:tcPr>
            <w:tcW w:w="3920" w:type="dxa"/>
          </w:tcPr>
          <w:p>
            <w:pPr>
              <w:spacing w:line="400" w:lineRule="exact"/>
              <w:rPr>
                <w:rFonts w:ascii="宋体" w:hAnsi="宋体"/>
                <w:sz w:val="18"/>
                <w:szCs w:val="18"/>
              </w:rPr>
            </w:pPr>
            <w:r>
              <w:rPr>
                <w:rFonts w:hint="eastAsia" w:ascii="宋体" w:hAnsi="宋体"/>
                <w:sz w:val="18"/>
                <w:szCs w:val="18"/>
              </w:rPr>
              <w:t>余氯检测仪</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5</w:t>
            </w:r>
          </w:p>
        </w:tc>
        <w:tc>
          <w:tcPr>
            <w:tcW w:w="3920" w:type="dxa"/>
          </w:tcPr>
          <w:p>
            <w:pPr>
              <w:spacing w:line="400" w:lineRule="exact"/>
              <w:rPr>
                <w:rFonts w:ascii="宋体" w:hAnsi="宋体"/>
                <w:sz w:val="18"/>
                <w:szCs w:val="18"/>
              </w:rPr>
            </w:pPr>
            <w:r>
              <w:rPr>
                <w:rFonts w:hint="eastAsia" w:ascii="宋体" w:hAnsi="宋体"/>
                <w:sz w:val="18"/>
                <w:szCs w:val="18"/>
              </w:rPr>
              <w:t>浊度仪</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6</w:t>
            </w:r>
          </w:p>
        </w:tc>
        <w:tc>
          <w:tcPr>
            <w:tcW w:w="3920" w:type="dxa"/>
          </w:tcPr>
          <w:p>
            <w:pPr>
              <w:spacing w:line="400" w:lineRule="exact"/>
              <w:rPr>
                <w:rFonts w:ascii="宋体" w:hAnsi="宋体"/>
                <w:sz w:val="18"/>
                <w:szCs w:val="18"/>
              </w:rPr>
            </w:pPr>
            <w:r>
              <w:rPr>
                <w:rFonts w:hint="eastAsia" w:ascii="宋体" w:hAnsi="宋体"/>
                <w:sz w:val="18"/>
                <w:szCs w:val="18"/>
              </w:rPr>
              <w:t>笔式酸度计</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7</w:t>
            </w:r>
          </w:p>
        </w:tc>
        <w:tc>
          <w:tcPr>
            <w:tcW w:w="3920" w:type="dxa"/>
          </w:tcPr>
          <w:p>
            <w:pPr>
              <w:spacing w:line="400" w:lineRule="exact"/>
              <w:rPr>
                <w:rFonts w:ascii="宋体" w:hAnsi="宋体"/>
                <w:sz w:val="18"/>
                <w:szCs w:val="18"/>
              </w:rPr>
            </w:pPr>
            <w:r>
              <w:rPr>
                <w:rFonts w:hint="eastAsia" w:ascii="宋体" w:hAnsi="宋体"/>
                <w:sz w:val="18"/>
                <w:szCs w:val="18"/>
              </w:rPr>
              <w:t>笔式温度计</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8</w:t>
            </w:r>
          </w:p>
        </w:tc>
        <w:tc>
          <w:tcPr>
            <w:tcW w:w="3920" w:type="dxa"/>
          </w:tcPr>
          <w:p>
            <w:pPr>
              <w:spacing w:line="400" w:lineRule="exact"/>
              <w:rPr>
                <w:rFonts w:ascii="宋体" w:hAnsi="宋体"/>
                <w:sz w:val="18"/>
                <w:szCs w:val="18"/>
              </w:rPr>
            </w:pPr>
            <w:r>
              <w:rPr>
                <w:rFonts w:hint="eastAsia" w:ascii="宋体" w:hAnsi="宋体"/>
                <w:sz w:val="18"/>
                <w:szCs w:val="18"/>
              </w:rPr>
              <w:t>千分之一天平</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9</w:t>
            </w:r>
          </w:p>
        </w:tc>
        <w:tc>
          <w:tcPr>
            <w:tcW w:w="3920" w:type="dxa"/>
          </w:tcPr>
          <w:p>
            <w:pPr>
              <w:spacing w:line="400" w:lineRule="exact"/>
              <w:rPr>
                <w:rFonts w:ascii="宋体" w:hAnsi="宋体"/>
                <w:sz w:val="18"/>
                <w:szCs w:val="18"/>
              </w:rPr>
            </w:pPr>
            <w:r>
              <w:rPr>
                <w:rFonts w:hint="eastAsia" w:ascii="宋体" w:hAnsi="宋体"/>
                <w:sz w:val="18"/>
                <w:szCs w:val="18"/>
              </w:rPr>
              <w:t>紫外辐照计</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10</w:t>
            </w:r>
          </w:p>
        </w:tc>
        <w:tc>
          <w:tcPr>
            <w:tcW w:w="3920" w:type="dxa"/>
          </w:tcPr>
          <w:p>
            <w:pPr>
              <w:spacing w:line="400" w:lineRule="exact"/>
              <w:rPr>
                <w:rFonts w:ascii="宋体" w:hAnsi="宋体"/>
                <w:sz w:val="18"/>
                <w:szCs w:val="18"/>
              </w:rPr>
            </w:pPr>
            <w:r>
              <w:rPr>
                <w:rFonts w:hint="eastAsia" w:ascii="宋体" w:hAnsi="宋体"/>
                <w:sz w:val="18"/>
                <w:szCs w:val="18"/>
              </w:rPr>
              <w:t>水质快速检测箱</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jc w:val="center"/>
        </w:trPr>
        <w:tc>
          <w:tcPr>
            <w:tcW w:w="1272" w:type="dxa"/>
          </w:tcPr>
          <w:p>
            <w:pPr>
              <w:spacing w:line="400" w:lineRule="exact"/>
              <w:jc w:val="center"/>
              <w:rPr>
                <w:rFonts w:ascii="宋体" w:hAnsi="宋体"/>
                <w:sz w:val="18"/>
                <w:szCs w:val="18"/>
              </w:rPr>
            </w:pPr>
            <w:r>
              <w:rPr>
                <w:rFonts w:hint="eastAsia" w:ascii="宋体" w:hAnsi="宋体"/>
                <w:sz w:val="18"/>
                <w:szCs w:val="18"/>
              </w:rPr>
              <w:t>11</w:t>
            </w:r>
          </w:p>
        </w:tc>
        <w:tc>
          <w:tcPr>
            <w:tcW w:w="3920" w:type="dxa"/>
          </w:tcPr>
          <w:p>
            <w:pPr>
              <w:spacing w:line="400" w:lineRule="exact"/>
              <w:rPr>
                <w:rFonts w:ascii="宋体" w:hAnsi="宋体"/>
                <w:sz w:val="18"/>
                <w:szCs w:val="18"/>
              </w:rPr>
            </w:pPr>
            <w:r>
              <w:rPr>
                <w:rFonts w:hint="eastAsia" w:ascii="宋体" w:hAnsi="宋体"/>
                <w:sz w:val="18"/>
                <w:szCs w:val="18"/>
              </w:rPr>
              <w:t>糖化血红蛋白分析仪</w:t>
            </w:r>
          </w:p>
        </w:tc>
        <w:tc>
          <w:tcPr>
            <w:tcW w:w="1144" w:type="dxa"/>
          </w:tcPr>
          <w:p>
            <w:pPr>
              <w:spacing w:line="400" w:lineRule="exact"/>
              <w:jc w:val="center"/>
              <w:rPr>
                <w:rFonts w:ascii="宋体" w:hAnsi="宋体"/>
                <w:sz w:val="18"/>
                <w:szCs w:val="18"/>
              </w:rPr>
            </w:pPr>
            <w:r>
              <w:rPr>
                <w:rFonts w:hint="eastAsia" w:ascii="宋体" w:hAnsi="宋体"/>
                <w:sz w:val="18"/>
                <w:szCs w:val="18"/>
              </w:rPr>
              <w:t>台</w:t>
            </w:r>
          </w:p>
        </w:tc>
        <w:tc>
          <w:tcPr>
            <w:tcW w:w="1164" w:type="dxa"/>
          </w:tcPr>
          <w:p>
            <w:pPr>
              <w:spacing w:line="400" w:lineRule="exact"/>
              <w:jc w:val="center"/>
              <w:rPr>
                <w:rFonts w:ascii="宋体" w:hAnsi="宋体"/>
                <w:sz w:val="18"/>
                <w:szCs w:val="18"/>
              </w:rPr>
            </w:pPr>
            <w:r>
              <w:rPr>
                <w:rFonts w:hint="eastAsia" w:ascii="宋体" w:hAnsi="宋体"/>
                <w:sz w:val="18"/>
                <w:szCs w:val="18"/>
              </w:rPr>
              <w:t>1</w:t>
            </w:r>
          </w:p>
        </w:tc>
      </w:tr>
    </w:tbl>
    <w:p>
      <w:pPr>
        <w:spacing w:line="360" w:lineRule="exact"/>
        <w:rPr>
          <w:rFonts w:ascii="宋体" w:hAnsi="宋体"/>
          <w:b/>
          <w:bCs/>
          <w:szCs w:val="21"/>
        </w:rPr>
      </w:pPr>
      <w:r>
        <w:rPr>
          <w:rFonts w:hint="eastAsia" w:ascii="宋体" w:hAnsi="宋体"/>
          <w:szCs w:val="21"/>
        </w:rPr>
        <w:t>1</w:t>
      </w:r>
      <w:r>
        <w:rPr>
          <w:rFonts w:hint="eastAsia" w:ascii="宋体" w:hAnsi="宋体"/>
          <w:b/>
          <w:bCs/>
          <w:szCs w:val="21"/>
        </w:rPr>
        <w:t>、公共场所检测系统。本系统需由一氧化碳检测仪、二氧化碳检测仪、热球式风速仪、照度仪、温湿度计、噪音仪、甲醛检测仪、激光可吸入粉尘浓度测试仪组成。</w:t>
      </w:r>
    </w:p>
    <w:p>
      <w:pPr>
        <w:spacing w:line="360" w:lineRule="exact"/>
        <w:rPr>
          <w:rFonts w:ascii="宋体" w:hAnsi="宋体" w:cs="宋体"/>
          <w:b/>
          <w:bCs/>
          <w:szCs w:val="21"/>
        </w:rPr>
      </w:pPr>
      <w:r>
        <w:rPr>
          <w:rFonts w:hint="eastAsia" w:ascii="宋体" w:hAnsi="宋体"/>
          <w:b/>
          <w:bCs/>
          <w:szCs w:val="21"/>
        </w:rPr>
        <w:t xml:space="preserve">    一氧化碳检测仪量程：</w:t>
      </w:r>
      <w:r>
        <w:rPr>
          <w:rFonts w:hint="eastAsia" w:ascii="宋体" w:hAnsi="宋体" w:cs="宋体"/>
          <w:b/>
          <w:bCs/>
          <w:szCs w:val="21"/>
        </w:rPr>
        <w:t>0-100ppm（可扩展到200ppm）； 分辨率：0.01ppm；</w:t>
      </w:r>
    </w:p>
    <w:p>
      <w:pPr>
        <w:spacing w:line="360" w:lineRule="exact"/>
        <w:rPr>
          <w:rFonts w:ascii="宋体" w:hAnsi="宋体" w:cs="宋体"/>
          <w:b/>
          <w:bCs/>
          <w:szCs w:val="21"/>
        </w:rPr>
      </w:pPr>
      <w:r>
        <w:rPr>
          <w:rFonts w:hint="eastAsia" w:ascii="宋体" w:hAnsi="宋体" w:cs="宋体"/>
          <w:b/>
          <w:bCs/>
          <w:szCs w:val="21"/>
        </w:rPr>
        <w:t xml:space="preserve">    二氧化碳检测仪量程：</w:t>
      </w:r>
      <w:r>
        <w:rPr>
          <w:rFonts w:hint="eastAsia" w:ascii="宋体" w:hAnsi="宋体"/>
          <w:b/>
          <w:bCs/>
          <w:szCs w:val="21"/>
        </w:rPr>
        <w:t>0-5000PPM；分辨率：</w:t>
      </w:r>
      <w:r>
        <w:rPr>
          <w:rFonts w:hint="eastAsia" w:ascii="宋体" w:hAnsi="宋体" w:cs="宋体"/>
          <w:b/>
          <w:bCs/>
          <w:szCs w:val="21"/>
        </w:rPr>
        <w:t>1ppm；</w:t>
      </w:r>
    </w:p>
    <w:p>
      <w:pPr>
        <w:spacing w:line="360" w:lineRule="exact"/>
        <w:rPr>
          <w:rFonts w:ascii="宋体" w:hAnsi="宋体"/>
          <w:b/>
          <w:bCs/>
          <w:szCs w:val="21"/>
        </w:rPr>
      </w:pPr>
      <w:r>
        <w:rPr>
          <w:rFonts w:hint="eastAsia" w:ascii="宋体" w:hAnsi="宋体" w:cs="宋体"/>
          <w:b/>
          <w:bCs/>
          <w:szCs w:val="21"/>
        </w:rPr>
        <w:t xml:space="preserve">    热球式风速仪量程：0-30m</w:t>
      </w:r>
      <w:r>
        <w:rPr>
          <w:rFonts w:hint="eastAsia" w:ascii="宋体" w:hAnsi="宋体"/>
          <w:b/>
          <w:bCs/>
          <w:szCs w:val="21"/>
        </w:rPr>
        <w:t>/s；分辨率：0.01m/s；</w:t>
      </w:r>
    </w:p>
    <w:p>
      <w:pPr>
        <w:spacing w:line="360" w:lineRule="exact"/>
        <w:rPr>
          <w:rFonts w:ascii="宋体" w:hAnsi="宋体"/>
          <w:b/>
          <w:bCs/>
          <w:szCs w:val="21"/>
        </w:rPr>
      </w:pPr>
      <w:r>
        <w:rPr>
          <w:rFonts w:hint="eastAsia" w:ascii="宋体" w:hAnsi="宋体"/>
          <w:b/>
          <w:bCs/>
          <w:szCs w:val="21"/>
        </w:rPr>
        <w:t xml:space="preserve">    照度仪量程：20-200-2000-20000LUX；分辨率：0.01LUX；</w:t>
      </w:r>
    </w:p>
    <w:p>
      <w:pPr>
        <w:spacing w:line="360" w:lineRule="exact"/>
        <w:rPr>
          <w:rFonts w:ascii="宋体" w:hAnsi="宋体"/>
          <w:b/>
          <w:bCs/>
          <w:szCs w:val="21"/>
        </w:rPr>
      </w:pPr>
      <w:r>
        <w:rPr>
          <w:rFonts w:hint="eastAsia" w:ascii="宋体" w:hAnsi="宋体"/>
          <w:b/>
          <w:bCs/>
          <w:szCs w:val="21"/>
        </w:rPr>
        <w:t xml:space="preserve">    温湿度仪量程：湿度</w:t>
      </w:r>
      <w:r>
        <w:rPr>
          <w:rFonts w:ascii="宋体" w:hAnsi="宋体"/>
          <w:b/>
          <w:bCs/>
          <w:color w:val="000000"/>
          <w:kern w:val="0"/>
          <w:szCs w:val="21"/>
        </w:rPr>
        <w:t>5%~99%RH</w:t>
      </w:r>
      <w:r>
        <w:rPr>
          <w:rFonts w:hint="eastAsia" w:ascii="宋体" w:hAnsi="宋体"/>
          <w:b/>
          <w:bCs/>
          <w:color w:val="000000"/>
          <w:kern w:val="0"/>
          <w:szCs w:val="21"/>
        </w:rPr>
        <w:t>；温度：</w:t>
      </w:r>
      <w:r>
        <w:rPr>
          <w:rFonts w:ascii="宋体" w:hAnsi="宋体"/>
          <w:b/>
          <w:bCs/>
          <w:color w:val="000000"/>
          <w:kern w:val="0"/>
          <w:szCs w:val="21"/>
        </w:rPr>
        <w:t>-10℃~50℃</w:t>
      </w:r>
      <w:r>
        <w:rPr>
          <w:rFonts w:hint="eastAsia" w:ascii="宋体" w:hAnsi="宋体"/>
          <w:b/>
          <w:bCs/>
          <w:color w:val="000000"/>
          <w:kern w:val="0"/>
          <w:szCs w:val="21"/>
        </w:rPr>
        <w:t>；分辨率：</w:t>
      </w:r>
      <w:r>
        <w:rPr>
          <w:rFonts w:ascii="宋体" w:hAnsi="宋体"/>
          <w:b/>
          <w:bCs/>
          <w:szCs w:val="21"/>
        </w:rPr>
        <w:t>湿度0.1%RH温度0.1℃</w:t>
      </w:r>
    </w:p>
    <w:p>
      <w:pPr>
        <w:spacing w:line="360" w:lineRule="exact"/>
        <w:ind w:firstLine="422" w:firstLineChars="200"/>
        <w:rPr>
          <w:rFonts w:ascii="宋体" w:hAnsi="宋体"/>
          <w:b/>
          <w:bCs/>
          <w:szCs w:val="21"/>
        </w:rPr>
      </w:pPr>
      <w:r>
        <w:rPr>
          <w:rFonts w:hint="eastAsia" w:ascii="宋体" w:hAnsi="宋体"/>
          <w:b/>
          <w:bCs/>
          <w:szCs w:val="21"/>
        </w:rPr>
        <w:t>噪音仪量程：35-130dB；分辨率：0.1dB;</w:t>
      </w:r>
    </w:p>
    <w:p>
      <w:pPr>
        <w:spacing w:line="360" w:lineRule="exact"/>
        <w:ind w:firstLine="422" w:firstLineChars="200"/>
        <w:rPr>
          <w:rFonts w:ascii="宋体" w:hAnsi="宋体" w:cs="宋体"/>
          <w:b/>
          <w:bCs/>
          <w:szCs w:val="21"/>
        </w:rPr>
      </w:pPr>
      <w:r>
        <w:rPr>
          <w:rFonts w:hint="eastAsia" w:ascii="宋体" w:hAnsi="宋体"/>
          <w:b/>
          <w:bCs/>
          <w:szCs w:val="21"/>
        </w:rPr>
        <w:t>激光可吸入粉尘浓度测试仪量程：0.001~10mg/m³；1-999999粒/L ；分辨率：</w:t>
      </w:r>
      <w:r>
        <w:rPr>
          <w:rFonts w:hint="eastAsia" w:ascii="宋体" w:hAnsi="宋体" w:cs="宋体"/>
          <w:b/>
          <w:bCs/>
          <w:szCs w:val="21"/>
        </w:rPr>
        <w:t>0.001mg/m³</w:t>
      </w:r>
    </w:p>
    <w:p>
      <w:pPr>
        <w:spacing w:line="360" w:lineRule="exact"/>
        <w:ind w:firstLine="422" w:firstLineChars="200"/>
        <w:rPr>
          <w:rFonts w:ascii="宋体" w:hAnsi="宋体" w:cs="宋体"/>
          <w:b/>
          <w:bCs/>
          <w:szCs w:val="21"/>
        </w:rPr>
      </w:pPr>
      <w:r>
        <w:rPr>
          <w:rFonts w:hint="eastAsia" w:ascii="宋体" w:hAnsi="宋体"/>
          <w:b/>
          <w:bCs/>
          <w:szCs w:val="21"/>
        </w:rPr>
        <w:t>甲醛检测仪：</w:t>
      </w:r>
    </w:p>
    <w:p>
      <w:pPr>
        <w:spacing w:line="360" w:lineRule="exact"/>
        <w:rPr>
          <w:rFonts w:ascii="宋体" w:hAnsi="宋体" w:cs="宋体"/>
          <w:b/>
          <w:bCs/>
          <w:color w:val="FF0000"/>
          <w:szCs w:val="21"/>
        </w:rPr>
      </w:pPr>
      <w:r>
        <w:rPr>
          <w:rFonts w:hint="eastAsia" w:ascii="宋体" w:hAnsi="宋体" w:cs="宋体"/>
          <w:b/>
          <w:bCs/>
          <w:szCs w:val="21"/>
        </w:rPr>
        <w:t xml:space="preserve"> 2、氨气检测仪系统：</w:t>
      </w:r>
    </w:p>
    <w:p>
      <w:pPr>
        <w:spacing w:line="360" w:lineRule="exact"/>
        <w:rPr>
          <w:rFonts w:ascii="宋体" w:hAnsi="宋体" w:cs="宋体"/>
          <w:b/>
          <w:bCs/>
          <w:szCs w:val="21"/>
        </w:rPr>
      </w:pPr>
      <w:r>
        <w:rPr>
          <w:rFonts w:hint="eastAsia" w:ascii="宋体" w:hAnsi="宋体" w:cs="宋体"/>
          <w:b/>
          <w:bCs/>
          <w:szCs w:val="21"/>
        </w:rPr>
        <w:t xml:space="preserve">    量    程：100ppm</w:t>
      </w:r>
    </w:p>
    <w:p>
      <w:pPr>
        <w:spacing w:line="360" w:lineRule="exact"/>
        <w:rPr>
          <w:rFonts w:ascii="宋体" w:hAnsi="宋体" w:cs="宋体"/>
          <w:b/>
          <w:bCs/>
          <w:szCs w:val="21"/>
        </w:rPr>
      </w:pPr>
      <w:r>
        <w:rPr>
          <w:rFonts w:hint="eastAsia" w:ascii="宋体" w:hAnsi="宋体" w:cs="宋体"/>
          <w:b/>
          <w:bCs/>
          <w:szCs w:val="21"/>
        </w:rPr>
        <w:t xml:space="preserve">    分 辨 率：0.01ppm</w:t>
      </w:r>
    </w:p>
    <w:p>
      <w:pPr>
        <w:spacing w:line="360" w:lineRule="exact"/>
        <w:rPr>
          <w:rFonts w:ascii="宋体" w:hAnsi="宋体" w:cs="宋体"/>
          <w:b/>
          <w:bCs/>
          <w:szCs w:val="21"/>
        </w:rPr>
      </w:pPr>
      <w:r>
        <w:rPr>
          <w:rFonts w:hint="eastAsia" w:ascii="宋体" w:hAnsi="宋体" w:cs="宋体"/>
          <w:b/>
          <w:bCs/>
          <w:szCs w:val="21"/>
        </w:rPr>
        <w:t xml:space="preserve">    精    度：≤±3%</w:t>
      </w:r>
    </w:p>
    <w:p>
      <w:pPr>
        <w:spacing w:line="360" w:lineRule="exact"/>
        <w:rPr>
          <w:rFonts w:ascii="宋体" w:hAnsi="宋体" w:cs="宋体"/>
          <w:b/>
          <w:bCs/>
          <w:szCs w:val="21"/>
        </w:rPr>
      </w:pPr>
      <w:r>
        <w:rPr>
          <w:rFonts w:hint="eastAsia" w:ascii="宋体" w:hAnsi="宋体" w:cs="宋体"/>
          <w:b/>
          <w:bCs/>
          <w:szCs w:val="21"/>
        </w:rPr>
        <w:t xml:space="preserve">    检测原理：电化学</w:t>
      </w:r>
    </w:p>
    <w:p>
      <w:pPr>
        <w:spacing w:line="360" w:lineRule="exact"/>
        <w:rPr>
          <w:rFonts w:ascii="宋体" w:hAnsi="宋体"/>
          <w:b/>
          <w:bCs/>
          <w:szCs w:val="21"/>
        </w:rPr>
      </w:pPr>
      <w:r>
        <w:rPr>
          <w:rFonts w:hint="eastAsia" w:ascii="宋体" w:hAnsi="宋体" w:cs="宋体"/>
          <w:b/>
          <w:bCs/>
          <w:szCs w:val="21"/>
        </w:rPr>
        <w:t xml:space="preserve">    显示方式：2.5英寸320*240高清彩屏</w:t>
      </w:r>
    </w:p>
    <w:p>
      <w:pPr>
        <w:spacing w:line="360" w:lineRule="exact"/>
        <w:rPr>
          <w:rFonts w:ascii="宋体" w:hAnsi="宋体" w:cs="宋体"/>
          <w:b/>
          <w:bCs/>
          <w:szCs w:val="21"/>
        </w:rPr>
      </w:pPr>
      <w:r>
        <w:rPr>
          <w:rFonts w:hint="eastAsia" w:ascii="宋体" w:hAnsi="宋体" w:cs="宋体"/>
          <w:b/>
          <w:bCs/>
          <w:szCs w:val="21"/>
        </w:rPr>
        <w:t xml:space="preserve">    响应时间：≤15秒（T90）</w:t>
      </w:r>
    </w:p>
    <w:p>
      <w:pPr>
        <w:spacing w:line="360" w:lineRule="exact"/>
        <w:rPr>
          <w:rFonts w:ascii="宋体" w:hAnsi="宋体" w:cs="宋体"/>
          <w:b/>
          <w:bCs/>
          <w:szCs w:val="21"/>
        </w:rPr>
      </w:pPr>
      <w:r>
        <w:rPr>
          <w:rFonts w:hint="eastAsia" w:ascii="宋体" w:hAnsi="宋体" w:cs="宋体"/>
          <w:b/>
          <w:bCs/>
          <w:szCs w:val="21"/>
        </w:rPr>
        <w:t xml:space="preserve">    恢复时间：≤20秒</w:t>
      </w:r>
    </w:p>
    <w:p>
      <w:pPr>
        <w:spacing w:line="360" w:lineRule="exact"/>
        <w:rPr>
          <w:rFonts w:ascii="宋体" w:hAnsi="宋体" w:cs="宋体"/>
          <w:b/>
          <w:bCs/>
          <w:szCs w:val="21"/>
        </w:rPr>
      </w:pPr>
      <w:r>
        <w:rPr>
          <w:rFonts w:hint="eastAsia" w:ascii="宋体" w:hAnsi="宋体" w:cs="宋体"/>
          <w:b/>
          <w:bCs/>
          <w:szCs w:val="21"/>
        </w:rPr>
        <w:t xml:space="preserve">    工作温度：-20℃～+50℃</w:t>
      </w:r>
    </w:p>
    <w:p>
      <w:pPr>
        <w:spacing w:line="360" w:lineRule="exact"/>
        <w:rPr>
          <w:rFonts w:ascii="宋体" w:hAnsi="宋体" w:cs="宋体"/>
          <w:b/>
          <w:bCs/>
          <w:szCs w:val="21"/>
        </w:rPr>
      </w:pPr>
      <w:r>
        <w:rPr>
          <w:rFonts w:hint="eastAsia" w:ascii="宋体" w:hAnsi="宋体" w:cs="宋体"/>
          <w:b/>
          <w:bCs/>
          <w:szCs w:val="21"/>
        </w:rPr>
        <w:t xml:space="preserve">    工作湿度：≤10%～95%RH，无冷凝（湿度&gt;90%RH，凝露可配过滤器）</w:t>
      </w:r>
    </w:p>
    <w:p>
      <w:pPr>
        <w:spacing w:line="360" w:lineRule="exact"/>
        <w:rPr>
          <w:rFonts w:ascii="宋体" w:hAnsi="宋体" w:cs="宋体"/>
          <w:b/>
          <w:bCs/>
          <w:szCs w:val="21"/>
        </w:rPr>
      </w:pPr>
      <w:r>
        <w:rPr>
          <w:rFonts w:hint="eastAsia" w:ascii="宋体" w:hAnsi="宋体" w:cs="宋体"/>
          <w:b/>
          <w:bCs/>
          <w:szCs w:val="21"/>
        </w:rPr>
        <w:t xml:space="preserve">    工作压力：≤300Kpa（表压）</w:t>
      </w:r>
    </w:p>
    <w:p>
      <w:pPr>
        <w:spacing w:line="360" w:lineRule="exact"/>
        <w:rPr>
          <w:rFonts w:ascii="宋体" w:hAnsi="宋体" w:cs="宋体"/>
          <w:b/>
          <w:bCs/>
          <w:szCs w:val="21"/>
        </w:rPr>
      </w:pPr>
      <w:r>
        <w:rPr>
          <w:rFonts w:hint="eastAsia" w:ascii="宋体" w:hAnsi="宋体" w:cs="宋体"/>
          <w:b/>
          <w:bCs/>
          <w:szCs w:val="21"/>
        </w:rPr>
        <w:t xml:space="preserve">    通讯接口：红外、USB、RS232自动识别</w:t>
      </w:r>
    </w:p>
    <w:p>
      <w:pPr>
        <w:spacing w:line="360" w:lineRule="exact"/>
        <w:rPr>
          <w:rFonts w:ascii="宋体" w:hAnsi="宋体" w:cs="宋体"/>
          <w:b/>
          <w:bCs/>
          <w:szCs w:val="21"/>
        </w:rPr>
      </w:pPr>
      <w:r>
        <w:rPr>
          <w:rFonts w:hint="eastAsia" w:ascii="宋体" w:hAnsi="宋体" w:cs="宋体"/>
          <w:b/>
          <w:bCs/>
          <w:szCs w:val="21"/>
        </w:rPr>
        <w:t xml:space="preserve">    数据存储：内置2万组数据内存；可扩充32GB内存，20万组数据</w:t>
      </w:r>
    </w:p>
    <w:p>
      <w:pPr>
        <w:spacing w:line="360" w:lineRule="exact"/>
        <w:rPr>
          <w:rFonts w:ascii="宋体" w:hAnsi="宋体" w:cs="宋体"/>
          <w:b/>
          <w:bCs/>
          <w:szCs w:val="21"/>
        </w:rPr>
      </w:pPr>
      <w:r>
        <w:rPr>
          <w:rFonts w:hint="eastAsia" w:ascii="宋体" w:hAnsi="宋体" w:cs="宋体"/>
          <w:b/>
          <w:bCs/>
          <w:szCs w:val="21"/>
        </w:rPr>
        <w:t xml:space="preserve">    电池容量：4800mA</w:t>
      </w:r>
    </w:p>
    <w:p>
      <w:pPr>
        <w:spacing w:line="360" w:lineRule="exact"/>
        <w:rPr>
          <w:rFonts w:ascii="宋体" w:hAnsi="宋体" w:cs="宋体"/>
          <w:b/>
          <w:bCs/>
          <w:szCs w:val="21"/>
        </w:rPr>
      </w:pPr>
      <w:r>
        <w:rPr>
          <w:rFonts w:hint="eastAsia" w:ascii="宋体" w:hAnsi="宋体" w:cs="宋体"/>
          <w:b/>
          <w:bCs/>
          <w:szCs w:val="21"/>
        </w:rPr>
        <w:t xml:space="preserve">    推荐尺寸：220×120×70mm（L×W×H）</w:t>
      </w:r>
    </w:p>
    <w:p>
      <w:pPr>
        <w:spacing w:line="360" w:lineRule="exact"/>
        <w:rPr>
          <w:rFonts w:ascii="宋体" w:hAnsi="宋体" w:cs="宋体"/>
          <w:b/>
          <w:bCs/>
          <w:szCs w:val="21"/>
        </w:rPr>
      </w:pPr>
      <w:r>
        <w:rPr>
          <w:rFonts w:hint="eastAsia" w:ascii="宋体" w:hAnsi="宋体" w:cs="宋体"/>
          <w:b/>
          <w:bCs/>
          <w:szCs w:val="21"/>
        </w:rPr>
        <w:t xml:space="preserve">    推荐重量：约1.2Kg</w:t>
      </w:r>
    </w:p>
    <w:p>
      <w:pPr>
        <w:widowControl/>
        <w:spacing w:line="360" w:lineRule="exact"/>
        <w:rPr>
          <w:rFonts w:ascii="宋体" w:hAnsi="宋体" w:cs="宋体"/>
          <w:b/>
          <w:bCs/>
          <w:szCs w:val="21"/>
        </w:rPr>
      </w:pPr>
      <w:r>
        <w:rPr>
          <w:rFonts w:hint="eastAsia" w:ascii="宋体" w:hAnsi="宋体" w:cs="宋体"/>
          <w:b/>
          <w:bCs/>
          <w:szCs w:val="21"/>
        </w:rPr>
        <w:t xml:space="preserve"> 3、便携式尿素检测仪：</w:t>
      </w:r>
    </w:p>
    <w:p>
      <w:pPr>
        <w:widowControl/>
        <w:spacing w:line="360" w:lineRule="exact"/>
        <w:rPr>
          <w:rFonts w:ascii="宋体" w:hAnsi="宋体" w:cs="宋体"/>
          <w:b/>
          <w:bCs/>
          <w:color w:val="000000"/>
          <w:kern w:val="0"/>
          <w:szCs w:val="21"/>
        </w:rPr>
      </w:pPr>
      <w:r>
        <w:rPr>
          <w:rFonts w:hint="eastAsia" w:ascii="宋体" w:hAnsi="宋体" w:cs="宋体"/>
          <w:b/>
          <w:bCs/>
          <w:color w:val="000000"/>
          <w:kern w:val="0"/>
          <w:szCs w:val="21"/>
        </w:rPr>
        <w:t xml:space="preserve">    微电脑，轻触式键盘，</w:t>
      </w:r>
      <w:r>
        <w:rPr>
          <w:rFonts w:ascii="宋体" w:hAnsi="宋体"/>
          <w:b/>
          <w:bCs/>
          <w:color w:val="000000"/>
          <w:kern w:val="0"/>
          <w:szCs w:val="21"/>
        </w:rPr>
        <w:t>LCD</w:t>
      </w:r>
      <w:r>
        <w:rPr>
          <w:rFonts w:hint="eastAsia" w:ascii="宋体" w:hAnsi="宋体" w:cs="宋体"/>
          <w:b/>
          <w:bCs/>
          <w:color w:val="000000"/>
          <w:kern w:val="0"/>
          <w:szCs w:val="21"/>
        </w:rPr>
        <w:t>液晶数字清晰显示，使用方便；</w:t>
      </w:r>
    </w:p>
    <w:p>
      <w:pPr>
        <w:widowControl/>
        <w:spacing w:line="360" w:lineRule="exact"/>
        <w:rPr>
          <w:rFonts w:ascii="宋体" w:hAnsi="宋体" w:cs="宋体"/>
          <w:b/>
          <w:bCs/>
          <w:color w:val="000000"/>
          <w:kern w:val="0"/>
          <w:szCs w:val="21"/>
        </w:rPr>
      </w:pPr>
      <w:r>
        <w:rPr>
          <w:rFonts w:hint="eastAsia" w:ascii="宋体" w:hAnsi="宋体" w:cs="宋体"/>
          <w:b/>
          <w:bCs/>
          <w:color w:val="000000"/>
          <w:kern w:val="0"/>
          <w:szCs w:val="21"/>
        </w:rPr>
        <w:t xml:space="preserve">    采用分光光度的光电比色原理，应用方便试剂，水样放入试剂反应后几分钟即可读数，数字显示尿素的值，试剂包装为方便滴水瓶；</w:t>
      </w:r>
    </w:p>
    <w:p>
      <w:pPr>
        <w:widowControl/>
        <w:spacing w:line="360" w:lineRule="exact"/>
        <w:rPr>
          <w:rFonts w:ascii="宋体" w:hAnsi="宋体" w:cs="宋体"/>
          <w:b/>
          <w:bCs/>
          <w:color w:val="000000"/>
          <w:kern w:val="0"/>
          <w:szCs w:val="21"/>
        </w:rPr>
      </w:pPr>
      <w:r>
        <w:rPr>
          <w:rFonts w:hint="eastAsia" w:ascii="宋体" w:hAnsi="宋体" w:cs="宋体"/>
          <w:b/>
          <w:bCs/>
          <w:color w:val="000000"/>
          <w:kern w:val="0"/>
          <w:szCs w:val="21"/>
        </w:rPr>
        <w:t xml:space="preserve">    光源寿命需达</w:t>
      </w:r>
      <w:r>
        <w:rPr>
          <w:rFonts w:ascii="宋体" w:hAnsi="宋体"/>
          <w:b/>
          <w:bCs/>
          <w:color w:val="000000"/>
          <w:kern w:val="0"/>
          <w:szCs w:val="21"/>
        </w:rPr>
        <w:t>20</w:t>
      </w:r>
      <w:r>
        <w:rPr>
          <w:rFonts w:hint="eastAsia" w:ascii="宋体" w:hAnsi="宋体" w:cs="宋体"/>
          <w:b/>
          <w:bCs/>
          <w:color w:val="000000"/>
          <w:kern w:val="0"/>
          <w:szCs w:val="21"/>
        </w:rPr>
        <w:t>年，开机时无需预热，可直接使用；</w:t>
      </w:r>
    </w:p>
    <w:p>
      <w:pPr>
        <w:widowControl/>
        <w:spacing w:line="360" w:lineRule="exact"/>
        <w:rPr>
          <w:rFonts w:ascii="宋体" w:hAnsi="宋体" w:cs="宋体"/>
          <w:b/>
          <w:bCs/>
          <w:color w:val="000000"/>
          <w:kern w:val="0"/>
          <w:szCs w:val="21"/>
        </w:rPr>
      </w:pPr>
      <w:r>
        <w:rPr>
          <w:rFonts w:hint="eastAsia" w:ascii="宋体" w:hAnsi="宋体" w:cs="宋体"/>
          <w:b/>
          <w:bCs/>
          <w:color w:val="000000"/>
          <w:kern w:val="0"/>
          <w:szCs w:val="21"/>
        </w:rPr>
        <w:t xml:space="preserve">    主机内可配置大功率电池，可于野外现场定量测量，充电</w:t>
      </w:r>
      <w:r>
        <w:rPr>
          <w:rFonts w:ascii="宋体" w:hAnsi="宋体"/>
          <w:b/>
          <w:bCs/>
          <w:color w:val="000000"/>
          <w:kern w:val="0"/>
          <w:szCs w:val="21"/>
        </w:rPr>
        <w:t>2</w:t>
      </w:r>
      <w:r>
        <w:rPr>
          <w:rFonts w:hint="eastAsia" w:ascii="宋体" w:hAnsi="宋体" w:cs="宋体"/>
          <w:b/>
          <w:bCs/>
          <w:color w:val="000000"/>
          <w:kern w:val="0"/>
          <w:szCs w:val="21"/>
        </w:rPr>
        <w:t>小时至少连续使用</w:t>
      </w:r>
      <w:r>
        <w:rPr>
          <w:rFonts w:ascii="宋体" w:hAnsi="宋体"/>
          <w:b/>
          <w:bCs/>
          <w:color w:val="000000"/>
          <w:kern w:val="0"/>
          <w:szCs w:val="21"/>
        </w:rPr>
        <w:t>4</w:t>
      </w:r>
      <w:r>
        <w:rPr>
          <w:rFonts w:hint="eastAsia" w:ascii="宋体" w:hAnsi="宋体" w:cs="宋体"/>
          <w:b/>
          <w:bCs/>
          <w:color w:val="000000"/>
          <w:kern w:val="0"/>
          <w:szCs w:val="21"/>
        </w:rPr>
        <w:t>小时，即充即用；</w:t>
      </w:r>
    </w:p>
    <w:p>
      <w:pPr>
        <w:widowControl/>
        <w:spacing w:line="360" w:lineRule="exact"/>
        <w:rPr>
          <w:rFonts w:ascii="宋体" w:hAnsi="宋体"/>
          <w:b/>
          <w:bCs/>
          <w:color w:val="000000"/>
          <w:kern w:val="0"/>
          <w:szCs w:val="21"/>
        </w:rPr>
      </w:pPr>
      <w:r>
        <w:rPr>
          <w:rFonts w:hint="eastAsia" w:ascii="宋体" w:hAnsi="宋体" w:cs="宋体"/>
          <w:b/>
          <w:bCs/>
          <w:color w:val="000000"/>
          <w:kern w:val="0"/>
          <w:szCs w:val="21"/>
        </w:rPr>
        <w:t xml:space="preserve">    仪器内存需储有全量程范围内的标定曲线，具有断电保护，标定数据不会丢失。可自动调零和</w:t>
      </w:r>
      <w:r>
        <w:rPr>
          <w:rFonts w:ascii="宋体" w:hAnsi="宋体"/>
          <w:b/>
          <w:bCs/>
          <w:color w:val="000000"/>
          <w:kern w:val="0"/>
          <w:szCs w:val="21"/>
        </w:rPr>
        <w:t>5</w:t>
      </w:r>
      <w:r>
        <w:rPr>
          <w:rFonts w:hint="eastAsia" w:ascii="宋体" w:hAnsi="宋体" w:cs="宋体"/>
          <w:b/>
          <w:bCs/>
          <w:color w:val="000000"/>
          <w:kern w:val="0"/>
          <w:szCs w:val="21"/>
        </w:rPr>
        <w:t>点自动校正，数据有非线性处理及数据平滑功能，仪表最小读数为</w:t>
      </w:r>
      <w:r>
        <w:rPr>
          <w:rFonts w:ascii="宋体" w:hAnsi="宋体"/>
          <w:b/>
          <w:bCs/>
          <w:color w:val="000000"/>
          <w:kern w:val="0"/>
          <w:szCs w:val="21"/>
        </w:rPr>
        <w:t>0.01mg/L</w:t>
      </w:r>
      <w:r>
        <w:rPr>
          <w:rFonts w:hint="eastAsia" w:ascii="宋体" w:hAnsi="宋体"/>
          <w:b/>
          <w:bCs/>
          <w:color w:val="000000"/>
          <w:kern w:val="0"/>
          <w:szCs w:val="21"/>
        </w:rPr>
        <w:t>；</w:t>
      </w:r>
    </w:p>
    <w:p>
      <w:pPr>
        <w:widowControl/>
        <w:spacing w:line="360" w:lineRule="exact"/>
        <w:rPr>
          <w:rFonts w:ascii="宋体" w:hAnsi="宋体" w:cs="宋体"/>
          <w:b/>
          <w:bCs/>
          <w:color w:val="000000"/>
          <w:kern w:val="0"/>
          <w:szCs w:val="21"/>
        </w:rPr>
      </w:pPr>
      <w:r>
        <w:rPr>
          <w:rFonts w:hint="eastAsia" w:ascii="宋体" w:hAnsi="宋体" w:cs="宋体"/>
          <w:b/>
          <w:bCs/>
          <w:color w:val="000000"/>
          <w:kern w:val="0"/>
          <w:szCs w:val="21"/>
        </w:rPr>
        <w:t xml:space="preserve">    符合国标</w:t>
      </w:r>
      <w:r>
        <w:rPr>
          <w:rFonts w:ascii="宋体" w:hAnsi="宋体"/>
          <w:b/>
          <w:bCs/>
          <w:color w:val="000000"/>
          <w:kern w:val="0"/>
          <w:szCs w:val="21"/>
        </w:rPr>
        <w:t>GB/T5750-2006</w:t>
      </w:r>
      <w:r>
        <w:rPr>
          <w:rFonts w:hint="eastAsia" w:ascii="宋体" w:hAnsi="宋体" w:cs="宋体"/>
          <w:b/>
          <w:bCs/>
          <w:color w:val="000000"/>
          <w:kern w:val="0"/>
          <w:szCs w:val="21"/>
        </w:rPr>
        <w:t>生活饮用水卫生标准。</w:t>
      </w:r>
    </w:p>
    <w:p>
      <w:pPr>
        <w:spacing w:line="360" w:lineRule="exact"/>
        <w:rPr>
          <w:rFonts w:ascii="宋体" w:hAnsi="宋体" w:cs="宋体"/>
          <w:b/>
          <w:bCs/>
          <w:szCs w:val="21"/>
        </w:rPr>
      </w:pPr>
      <w:r>
        <w:rPr>
          <w:rFonts w:hint="eastAsia" w:ascii="宋体" w:hAnsi="宋体" w:cs="宋体"/>
          <w:b/>
          <w:bCs/>
          <w:szCs w:val="21"/>
        </w:rPr>
        <w:t xml:space="preserve"> 4、浊度仪：</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 xml:space="preserve">测量范围：0—200NTU; </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电源：DC9</w:t>
      </w:r>
      <w:r>
        <w:rPr>
          <w:rFonts w:hint="eastAsia" w:ascii="宋体" w:hAnsi="宋体"/>
          <w:b/>
          <w:bCs/>
          <w:szCs w:val="21"/>
          <w:shd w:val="clear" w:color="auto" w:fill="FFFFFF"/>
        </w:rPr>
        <w:t>V；</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分辨率：0.01NTU</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 xml:space="preserve">线性误差：±2%; </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重复性：≤ 1%；</w:t>
      </w:r>
    </w:p>
    <w:p>
      <w:pPr>
        <w:spacing w:line="360" w:lineRule="exact"/>
        <w:ind w:firstLine="422" w:firstLineChars="200"/>
        <w:rPr>
          <w:rFonts w:ascii="宋体" w:hAnsi="宋体"/>
          <w:b/>
          <w:bCs/>
          <w:szCs w:val="21"/>
          <w:shd w:val="clear" w:color="auto" w:fill="FFFFFF"/>
        </w:rPr>
      </w:pPr>
      <w:r>
        <w:rPr>
          <w:rFonts w:ascii="宋体" w:hAnsi="宋体"/>
          <w:b/>
          <w:bCs/>
          <w:color w:val="000000"/>
          <w:kern w:val="0"/>
          <w:szCs w:val="21"/>
          <w:shd w:val="clear" w:color="auto" w:fill="FFFFFF"/>
        </w:rPr>
        <w:t>微电脑，触摸式键盘</w:t>
      </w:r>
      <w:r>
        <w:rPr>
          <w:rFonts w:ascii="宋体" w:hAnsi="宋体"/>
          <w:b/>
          <w:bCs/>
          <w:szCs w:val="21"/>
          <w:shd w:val="clear" w:color="auto" w:fill="FFFFFF"/>
        </w:rPr>
        <w:t>使用方便</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可自动调零和1～5点自动校准</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高性能锂电池，充电2小时可连续使用4小时，即充即用</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采用独特的恒光源性能稳定</w:t>
      </w:r>
      <w:r>
        <w:rPr>
          <w:rFonts w:hint="eastAsia" w:ascii="宋体" w:hAnsi="宋体"/>
          <w:b/>
          <w:bCs/>
          <w:szCs w:val="21"/>
          <w:shd w:val="clear" w:color="auto" w:fill="FFFFFF"/>
        </w:rPr>
        <w:t>。</w:t>
      </w:r>
    </w:p>
    <w:p>
      <w:pPr>
        <w:spacing w:line="360" w:lineRule="exact"/>
        <w:rPr>
          <w:rFonts w:ascii="宋体" w:hAnsi="宋体"/>
          <w:b/>
          <w:bCs/>
          <w:szCs w:val="21"/>
          <w:shd w:val="clear" w:color="auto" w:fill="FFFFFF"/>
        </w:rPr>
      </w:pPr>
      <w:r>
        <w:rPr>
          <w:rFonts w:hint="eastAsia" w:ascii="宋体" w:hAnsi="宋体"/>
          <w:b/>
          <w:bCs/>
          <w:szCs w:val="21"/>
          <w:shd w:val="clear" w:color="auto" w:fill="FFFFFF"/>
        </w:rPr>
        <w:t xml:space="preserve"> 5、余氯检测仪:</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测量范围：0-2.5mg/L</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电源电压：DC9V</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分辨率：0.0</w:t>
      </w:r>
      <w:r>
        <w:rPr>
          <w:rFonts w:hint="eastAsia" w:ascii="宋体" w:hAnsi="宋体"/>
          <w:b/>
          <w:bCs/>
          <w:szCs w:val="21"/>
          <w:shd w:val="clear" w:color="auto" w:fill="FFFFFF"/>
        </w:rPr>
        <w:t>0</w:t>
      </w:r>
      <w:r>
        <w:rPr>
          <w:rFonts w:ascii="宋体" w:hAnsi="宋体"/>
          <w:b/>
          <w:bCs/>
          <w:szCs w:val="21"/>
          <w:shd w:val="clear" w:color="auto" w:fill="FFFFFF"/>
        </w:rPr>
        <w:t xml:space="preserve">1mg/L </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重复性：</w:t>
      </w:r>
      <w:r>
        <w:rPr>
          <w:rFonts w:hint="eastAsia" w:ascii="宋体" w:hAnsi="宋体"/>
          <w:b/>
          <w:bCs/>
          <w:szCs w:val="21"/>
          <w:shd w:val="clear" w:color="auto" w:fill="FFFFFF"/>
        </w:rPr>
        <w:t>2</w:t>
      </w:r>
      <w:r>
        <w:rPr>
          <w:rFonts w:ascii="宋体" w:hAnsi="宋体"/>
          <w:b/>
          <w:bCs/>
          <w:szCs w:val="21"/>
          <w:shd w:val="clear" w:color="auto" w:fill="FFFFFF"/>
        </w:rPr>
        <w:t>%</w:t>
      </w:r>
      <w:r>
        <w:rPr>
          <w:rFonts w:hint="eastAsia" w:ascii="宋体" w:hAnsi="宋体"/>
          <w:b/>
          <w:bCs/>
          <w:szCs w:val="21"/>
          <w:shd w:val="clear" w:color="auto" w:fill="FFFFFF"/>
        </w:rPr>
        <w:t>;</w:t>
      </w:r>
    </w:p>
    <w:p>
      <w:pPr>
        <w:spacing w:line="360" w:lineRule="exact"/>
        <w:ind w:firstLine="422" w:firstLineChars="200"/>
        <w:rPr>
          <w:rFonts w:ascii="宋体" w:hAnsi="宋体"/>
          <w:b/>
          <w:bCs/>
          <w:szCs w:val="21"/>
          <w:shd w:val="clear" w:color="auto" w:fill="FFFFFF"/>
        </w:rPr>
      </w:pPr>
      <w:r>
        <w:rPr>
          <w:rFonts w:ascii="宋体" w:hAnsi="宋体"/>
          <w:b/>
          <w:bCs/>
          <w:szCs w:val="21"/>
          <w:shd w:val="clear" w:color="auto" w:fill="FFFFFF"/>
        </w:rPr>
        <w:t>线性误差：±5％FS+1个字</w:t>
      </w:r>
      <w:r>
        <w:rPr>
          <w:rFonts w:hint="eastAsia" w:ascii="宋体" w:hAnsi="宋体"/>
          <w:b/>
          <w:bCs/>
          <w:szCs w:val="21"/>
          <w:shd w:val="clear" w:color="auto" w:fill="FFFFFF"/>
        </w:rPr>
        <w:t>.</w:t>
      </w:r>
    </w:p>
    <w:p>
      <w:pPr>
        <w:spacing w:line="360" w:lineRule="exact"/>
        <w:rPr>
          <w:rFonts w:ascii="宋体" w:hAnsi="宋体"/>
          <w:b/>
          <w:bCs/>
          <w:szCs w:val="21"/>
          <w:shd w:val="clear" w:color="auto" w:fill="FFFFFF"/>
        </w:rPr>
      </w:pPr>
      <w:r>
        <w:rPr>
          <w:rFonts w:hint="eastAsia" w:ascii="宋体" w:hAnsi="宋体"/>
          <w:b/>
          <w:bCs/>
          <w:szCs w:val="21"/>
          <w:shd w:val="clear" w:color="auto" w:fill="FFFFFF"/>
        </w:rPr>
        <w:t xml:space="preserve"> 6、笔式酸度计：</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 xml:space="preserve">量程 0-14； </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分辨率：0.1；</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相对精度±0.1；</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校正点：手动1.2点；</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分辨率0.1度；相对精度±0.5度；</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操作温度：0-50度。</w:t>
      </w:r>
    </w:p>
    <w:p>
      <w:pPr>
        <w:spacing w:line="360" w:lineRule="exact"/>
        <w:rPr>
          <w:rFonts w:ascii="宋体" w:hAnsi="宋体" w:cs="宋体"/>
          <w:b/>
          <w:bCs/>
          <w:kern w:val="0"/>
          <w:szCs w:val="21"/>
        </w:rPr>
      </w:pPr>
      <w:r>
        <w:rPr>
          <w:rFonts w:hint="eastAsia" w:ascii="宋体" w:hAnsi="宋体" w:cs="宋体"/>
          <w:b/>
          <w:bCs/>
          <w:kern w:val="0"/>
          <w:szCs w:val="21"/>
        </w:rPr>
        <w:t xml:space="preserve"> 7、笔式温度计：</w:t>
      </w:r>
    </w:p>
    <w:p>
      <w:pPr>
        <w:spacing w:line="360" w:lineRule="exact"/>
        <w:rPr>
          <w:rFonts w:ascii="宋体" w:hAnsi="宋体"/>
          <w:b/>
          <w:bCs/>
          <w:szCs w:val="21"/>
        </w:rPr>
      </w:pPr>
      <w:r>
        <w:rPr>
          <w:rFonts w:hint="eastAsia" w:ascii="宋体" w:hAnsi="宋体"/>
          <w:b/>
          <w:bCs/>
          <w:szCs w:val="21"/>
        </w:rPr>
        <w:t xml:space="preserve">    温度测量范围：-50℃~+300℃</w:t>
      </w:r>
    </w:p>
    <w:p>
      <w:pPr>
        <w:spacing w:line="360" w:lineRule="exact"/>
        <w:rPr>
          <w:rFonts w:ascii="宋体" w:hAnsi="宋体"/>
          <w:b/>
          <w:bCs/>
          <w:szCs w:val="21"/>
        </w:rPr>
      </w:pPr>
      <w:r>
        <w:rPr>
          <w:rFonts w:hint="eastAsia" w:ascii="宋体" w:hAnsi="宋体"/>
          <w:b/>
          <w:bCs/>
          <w:szCs w:val="21"/>
        </w:rPr>
        <w:t xml:space="preserve">    温度分辨率：0.1℃(0.1°F)</w:t>
      </w:r>
    </w:p>
    <w:p>
      <w:pPr>
        <w:spacing w:line="360" w:lineRule="exact"/>
        <w:rPr>
          <w:rFonts w:ascii="宋体" w:hAnsi="宋体"/>
          <w:b/>
          <w:bCs/>
          <w:szCs w:val="21"/>
        </w:rPr>
      </w:pPr>
      <w:r>
        <w:rPr>
          <w:rFonts w:hint="eastAsia" w:ascii="宋体" w:hAnsi="宋体"/>
          <w:b/>
          <w:bCs/>
          <w:szCs w:val="21"/>
        </w:rPr>
        <w:t xml:space="preserve">    温度测量精度：±1℃or 2°F（0℃～+80℃）±5℃(其他范围)</w:t>
      </w:r>
    </w:p>
    <w:p>
      <w:pPr>
        <w:spacing w:line="360" w:lineRule="exact"/>
        <w:rPr>
          <w:rFonts w:ascii="宋体" w:hAnsi="宋体"/>
          <w:b/>
          <w:bCs/>
          <w:szCs w:val="21"/>
        </w:rPr>
      </w:pPr>
      <w:r>
        <w:rPr>
          <w:rFonts w:hint="eastAsia" w:ascii="宋体" w:hAnsi="宋体"/>
          <w:b/>
          <w:bCs/>
          <w:szCs w:val="21"/>
        </w:rPr>
        <w:t xml:space="preserve">    使用电池：DC1.5V (AG13)*1</w:t>
      </w:r>
    </w:p>
    <w:p>
      <w:pPr>
        <w:spacing w:line="360" w:lineRule="exact"/>
        <w:rPr>
          <w:rFonts w:ascii="宋体" w:hAnsi="宋体" w:cs="宋体"/>
          <w:b/>
          <w:bCs/>
          <w:kern w:val="0"/>
          <w:szCs w:val="21"/>
        </w:rPr>
      </w:pPr>
      <w:r>
        <w:rPr>
          <w:rFonts w:hint="eastAsia" w:ascii="宋体" w:hAnsi="宋体" w:cs="宋体"/>
          <w:b/>
          <w:bCs/>
          <w:kern w:val="0"/>
          <w:szCs w:val="21"/>
        </w:rPr>
        <w:t xml:space="preserve"> 8、千分之一电子分析天平：</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四级防震，称量速度可调；</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重复性：≤±0.01g；</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线性≤±0.02g；</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称量范围：0-200g。</w:t>
      </w:r>
    </w:p>
    <w:p>
      <w:pPr>
        <w:spacing w:line="360" w:lineRule="exact"/>
        <w:ind w:firstLine="422" w:firstLineChars="200"/>
        <w:rPr>
          <w:rFonts w:ascii="宋体" w:hAnsi="宋体" w:cs="宋体"/>
          <w:b/>
          <w:bCs/>
          <w:kern w:val="0"/>
          <w:szCs w:val="21"/>
        </w:rPr>
      </w:pPr>
      <w:r>
        <w:rPr>
          <w:rFonts w:hint="eastAsia" w:ascii="宋体" w:hAnsi="宋体" w:cs="宋体"/>
          <w:b/>
          <w:bCs/>
          <w:kern w:val="0"/>
          <w:szCs w:val="21"/>
        </w:rPr>
        <w:t>玻璃移门、运输保护锁。</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cs="宋体"/>
          <w:b/>
          <w:bCs/>
          <w:kern w:val="0"/>
          <w:szCs w:val="21"/>
        </w:rPr>
        <w:t xml:space="preserve"> 9、紫外辐照计：</w:t>
      </w:r>
    </w:p>
    <w:p>
      <w:pPr>
        <w:shd w:val="solid" w:color="FFFFFF" w:fill="auto"/>
        <w:autoSpaceDN w:val="0"/>
        <w:spacing w:line="360" w:lineRule="exact"/>
        <w:jc w:val="left"/>
        <w:rPr>
          <w:rFonts w:ascii="宋体" w:hAnsi="宋体"/>
          <w:b/>
          <w:bCs/>
          <w:color w:val="000000"/>
          <w:spacing w:val="-8"/>
          <w:szCs w:val="21"/>
          <w:shd w:val="clear" w:color="auto" w:fill="FFFFFF"/>
        </w:rPr>
      </w:pPr>
      <w:r>
        <w:rPr>
          <w:rFonts w:ascii="宋体" w:hAnsi="宋体"/>
          <w:b/>
          <w:bCs/>
          <w:color w:val="000000"/>
          <w:spacing w:val="-8"/>
          <w:szCs w:val="21"/>
          <w:shd w:val="clear" w:color="auto" w:fill="FFFFFF"/>
        </w:rPr>
        <w:t>波长范围及峰值波长：</w:t>
      </w:r>
      <w:r>
        <w:rPr>
          <w:rFonts w:hint="eastAsia" w:ascii="宋体" w:hAnsi="宋体"/>
          <w:b/>
          <w:bCs/>
          <w:color w:val="000000"/>
          <w:spacing w:val="-8"/>
          <w:szCs w:val="21"/>
          <w:shd w:val="clear" w:color="auto" w:fill="FFFFFF"/>
        </w:rPr>
        <w:t>（1）</w:t>
      </w:r>
      <w:r>
        <w:rPr>
          <w:rFonts w:ascii="宋体" w:hAnsi="宋体"/>
          <w:b/>
          <w:bCs/>
          <w:color w:val="000000"/>
          <w:spacing w:val="-8"/>
          <w:szCs w:val="21"/>
          <w:shd w:val="clear" w:color="auto" w:fill="FFFFFF"/>
        </w:rPr>
        <w:t>UV－365探头：（光谱响应曲线见图）</w:t>
      </w:r>
    </w:p>
    <w:p>
      <w:pPr>
        <w:shd w:val="solid" w:color="FFFFFF" w:fill="auto"/>
        <w:autoSpaceDN w:val="0"/>
        <w:spacing w:line="360" w:lineRule="exact"/>
        <w:jc w:val="left"/>
        <w:rPr>
          <w:rFonts w:ascii="宋体" w:hAnsi="宋体"/>
          <w:b/>
          <w:bCs/>
          <w:color w:val="000000"/>
          <w:spacing w:val="-8"/>
          <w:szCs w:val="21"/>
          <w:shd w:val="clear" w:color="auto" w:fill="FFFFFF"/>
        </w:rPr>
      </w:pPr>
      <w:r>
        <w:rPr>
          <w:rFonts w:ascii="宋体" w:hAnsi="宋体"/>
          <w:b/>
          <w:bCs/>
          <w:color w:val="000000"/>
          <w:spacing w:val="-8"/>
          <w:szCs w:val="21"/>
          <w:shd w:val="clear" w:color="auto" w:fill="FFFFFF"/>
        </w:rPr>
        <w:t>λ：(320～400)nm；λ</w:t>
      </w:r>
      <w:r>
        <w:rPr>
          <w:rFonts w:ascii="宋体" w:hAnsi="宋体"/>
          <w:b/>
          <w:bCs/>
          <w:color w:val="000000"/>
          <w:spacing w:val="-8"/>
          <w:szCs w:val="21"/>
          <w:shd w:val="clear" w:color="auto" w:fill="FFFFFF"/>
          <w:vertAlign w:val="subscript"/>
        </w:rPr>
        <w:t>P</w:t>
      </w:r>
      <w:r>
        <w:rPr>
          <w:rFonts w:ascii="宋体" w:hAnsi="宋体"/>
          <w:b/>
          <w:bCs/>
          <w:color w:val="000000"/>
          <w:spacing w:val="-8"/>
          <w:szCs w:val="21"/>
          <w:shd w:val="clear" w:color="auto" w:fill="FFFFFF"/>
        </w:rPr>
        <w:t>＝365nm</w:t>
      </w:r>
      <w:r>
        <w:rPr>
          <w:rFonts w:hint="eastAsia" w:ascii="宋体" w:hAnsi="宋体"/>
          <w:b/>
          <w:bCs/>
          <w:color w:val="000000"/>
          <w:spacing w:val="-8"/>
          <w:szCs w:val="21"/>
          <w:shd w:val="clear" w:color="auto" w:fill="FFFFFF"/>
        </w:rPr>
        <w:t>；</w:t>
      </w:r>
      <w:r>
        <w:rPr>
          <w:rFonts w:ascii="宋体" w:hAnsi="宋体"/>
          <w:b/>
          <w:bCs/>
          <w:color w:val="000000"/>
          <w:spacing w:val="-8"/>
          <w:szCs w:val="21"/>
          <w:shd w:val="clear" w:color="auto" w:fill="FFFFFF"/>
        </w:rPr>
        <w:t>（2）UV－420探头：（光谱响应曲线见图）</w:t>
      </w:r>
    </w:p>
    <w:p>
      <w:pPr>
        <w:shd w:val="solid" w:color="FFFFFF" w:fill="auto"/>
        <w:autoSpaceDN w:val="0"/>
        <w:spacing w:line="360" w:lineRule="exact"/>
        <w:jc w:val="left"/>
        <w:rPr>
          <w:rFonts w:ascii="宋体" w:hAnsi="宋体"/>
          <w:b/>
          <w:bCs/>
          <w:color w:val="000000"/>
          <w:spacing w:val="-8"/>
          <w:szCs w:val="21"/>
          <w:shd w:val="clear" w:color="auto" w:fill="FFFFFF"/>
        </w:rPr>
      </w:pPr>
      <w:r>
        <w:rPr>
          <w:rFonts w:ascii="宋体" w:hAnsi="宋体"/>
          <w:b/>
          <w:bCs/>
          <w:color w:val="000000"/>
          <w:spacing w:val="-8"/>
          <w:szCs w:val="21"/>
          <w:shd w:val="clear" w:color="auto" w:fill="FFFFFF"/>
        </w:rPr>
        <w:t xml:space="preserve"> λ：(375～475)nm；λ</w:t>
      </w:r>
      <w:r>
        <w:rPr>
          <w:rFonts w:ascii="宋体" w:hAnsi="宋体"/>
          <w:b/>
          <w:bCs/>
          <w:color w:val="000000"/>
          <w:spacing w:val="-8"/>
          <w:szCs w:val="21"/>
          <w:shd w:val="clear" w:color="auto" w:fill="FFFFFF"/>
          <w:vertAlign w:val="subscript"/>
        </w:rPr>
        <w:t>P</w:t>
      </w:r>
      <w:r>
        <w:rPr>
          <w:rFonts w:ascii="宋体" w:hAnsi="宋体"/>
          <w:b/>
          <w:bCs/>
          <w:color w:val="000000"/>
          <w:spacing w:val="-8"/>
          <w:szCs w:val="21"/>
          <w:shd w:val="clear" w:color="auto" w:fill="FFFFFF"/>
        </w:rPr>
        <w:t>＝420nm</w:t>
      </w:r>
      <w:r>
        <w:rPr>
          <w:rFonts w:hint="eastAsia" w:ascii="宋体" w:hAnsi="宋体"/>
          <w:b/>
          <w:bCs/>
          <w:color w:val="000000"/>
          <w:spacing w:val="-8"/>
          <w:szCs w:val="21"/>
          <w:shd w:val="clear" w:color="auto" w:fill="FFFFFF"/>
        </w:rPr>
        <w:t>；</w:t>
      </w:r>
      <w:r>
        <w:rPr>
          <w:rFonts w:ascii="宋体" w:hAnsi="宋体"/>
          <w:b/>
          <w:bCs/>
          <w:color w:val="000000"/>
          <w:spacing w:val="-8"/>
          <w:szCs w:val="21"/>
          <w:shd w:val="clear" w:color="auto" w:fill="FFFFFF"/>
        </w:rPr>
        <w:t>辐照度测量范围：(0.1～199.9×10</w:t>
      </w:r>
      <w:r>
        <w:rPr>
          <w:rFonts w:ascii="宋体" w:hAnsi="宋体"/>
          <w:b/>
          <w:bCs/>
          <w:color w:val="000000"/>
          <w:spacing w:val="-8"/>
          <w:szCs w:val="21"/>
          <w:shd w:val="clear" w:color="auto" w:fill="FFFFFF"/>
          <w:vertAlign w:val="superscript"/>
        </w:rPr>
        <w:t>3</w:t>
      </w:r>
      <w:r>
        <w:rPr>
          <w:rFonts w:ascii="宋体" w:hAnsi="宋体"/>
          <w:b/>
          <w:bCs/>
          <w:color w:val="000000"/>
          <w:spacing w:val="-8"/>
          <w:szCs w:val="21"/>
          <w:shd w:val="clear" w:color="auto" w:fill="FFFFFF"/>
        </w:rPr>
        <w:t>)μW/cm</w:t>
      </w:r>
      <w:r>
        <w:rPr>
          <w:rFonts w:ascii="宋体" w:hAnsi="宋体"/>
          <w:b/>
          <w:bCs/>
          <w:color w:val="000000"/>
          <w:spacing w:val="-8"/>
          <w:szCs w:val="21"/>
          <w:shd w:val="clear" w:color="auto" w:fill="FFFFFF"/>
          <w:vertAlign w:val="superscript"/>
        </w:rPr>
        <w:t>2</w:t>
      </w:r>
    </w:p>
    <w:p>
      <w:pPr>
        <w:shd w:val="solid" w:color="FFFFFF" w:fill="auto"/>
        <w:autoSpaceDN w:val="0"/>
        <w:spacing w:line="360" w:lineRule="exact"/>
        <w:ind w:firstLine="390" w:firstLineChars="200"/>
        <w:jc w:val="left"/>
        <w:rPr>
          <w:rFonts w:ascii="宋体" w:hAnsi="宋体"/>
          <w:b/>
          <w:bCs/>
          <w:color w:val="000000"/>
          <w:spacing w:val="-8"/>
          <w:szCs w:val="21"/>
          <w:shd w:val="clear" w:color="auto" w:fill="FFFFFF"/>
        </w:rPr>
      </w:pPr>
      <w:r>
        <w:rPr>
          <w:rFonts w:ascii="宋体" w:hAnsi="宋体"/>
          <w:b/>
          <w:bCs/>
          <w:color w:val="000000"/>
          <w:spacing w:val="-8"/>
          <w:szCs w:val="21"/>
          <w:shd w:val="clear" w:color="auto" w:fill="FFFFFF"/>
        </w:rPr>
        <w:t>紫外带外区杂光：UV365：小于0.02％</w:t>
      </w:r>
      <w:r>
        <w:rPr>
          <w:rFonts w:hint="eastAsia" w:ascii="宋体" w:hAnsi="宋体"/>
          <w:b/>
          <w:bCs/>
          <w:color w:val="000000"/>
          <w:spacing w:val="-8"/>
          <w:szCs w:val="21"/>
          <w:shd w:val="clear" w:color="auto" w:fill="FFFFFF"/>
        </w:rPr>
        <w:t>，</w:t>
      </w:r>
      <w:r>
        <w:rPr>
          <w:rFonts w:ascii="宋体" w:hAnsi="宋体"/>
          <w:b/>
          <w:bCs/>
          <w:color w:val="000000"/>
          <w:spacing w:val="-8"/>
          <w:szCs w:val="21"/>
          <w:shd w:val="clear" w:color="auto" w:fill="FFFFFF"/>
        </w:rPr>
        <w:t xml:space="preserve"> UV420：小于0.02％</w:t>
      </w:r>
      <w:r>
        <w:rPr>
          <w:rFonts w:hint="eastAsia" w:ascii="宋体" w:hAnsi="宋体"/>
          <w:b/>
          <w:bCs/>
          <w:color w:val="000000"/>
          <w:spacing w:val="-8"/>
          <w:szCs w:val="21"/>
          <w:shd w:val="clear" w:color="auto" w:fill="FFFFFF"/>
        </w:rPr>
        <w:t>；</w:t>
      </w:r>
      <w:r>
        <w:rPr>
          <w:rFonts w:ascii="宋体" w:hAnsi="宋体"/>
          <w:b/>
          <w:bCs/>
          <w:color w:val="000000"/>
          <w:spacing w:val="-8"/>
          <w:szCs w:val="21"/>
          <w:shd w:val="clear" w:color="auto" w:fill="FFFFFF"/>
        </w:rPr>
        <w:t xml:space="preserve">准确度： ±10％  </w:t>
      </w:r>
      <w:r>
        <w:rPr>
          <w:rFonts w:hint="eastAsia" w:ascii="宋体" w:hAnsi="宋体"/>
          <w:b/>
          <w:bCs/>
          <w:color w:val="000000"/>
          <w:spacing w:val="-8"/>
          <w:szCs w:val="21"/>
          <w:shd w:val="clear" w:color="auto" w:fill="FFFFFF"/>
        </w:rPr>
        <w:t xml:space="preserve">； </w:t>
      </w:r>
    </w:p>
    <w:p>
      <w:pPr>
        <w:shd w:val="solid" w:color="FFFFFF" w:fill="auto"/>
        <w:autoSpaceDN w:val="0"/>
        <w:spacing w:line="360" w:lineRule="exact"/>
        <w:ind w:firstLine="390" w:firstLineChars="200"/>
        <w:jc w:val="left"/>
        <w:rPr>
          <w:rFonts w:ascii="宋体" w:hAnsi="宋体"/>
          <w:b/>
          <w:bCs/>
          <w:color w:val="000000"/>
          <w:spacing w:val="-8"/>
          <w:szCs w:val="21"/>
          <w:shd w:val="clear" w:color="auto" w:fill="FFFFFF"/>
        </w:rPr>
      </w:pPr>
      <w:r>
        <w:rPr>
          <w:rFonts w:ascii="宋体" w:hAnsi="宋体"/>
          <w:b/>
          <w:bCs/>
          <w:color w:val="000000"/>
          <w:spacing w:val="-8"/>
          <w:szCs w:val="21"/>
          <w:shd w:val="clear" w:color="auto" w:fill="FFFFFF"/>
        </w:rPr>
        <w:t>角度响应特性：符合国家二级光照度计标准</w:t>
      </w:r>
      <w:r>
        <w:rPr>
          <w:rFonts w:hint="eastAsia" w:ascii="宋体" w:hAnsi="宋体"/>
          <w:b/>
          <w:bCs/>
          <w:color w:val="000000"/>
          <w:spacing w:val="-8"/>
          <w:szCs w:val="21"/>
          <w:shd w:val="clear" w:color="auto" w:fill="FFFFFF"/>
        </w:rPr>
        <w:t>；</w:t>
      </w:r>
    </w:p>
    <w:p>
      <w:pPr>
        <w:shd w:val="solid" w:color="FFFFFF" w:fill="auto"/>
        <w:autoSpaceDN w:val="0"/>
        <w:spacing w:line="360" w:lineRule="exact"/>
        <w:ind w:firstLine="390" w:firstLineChars="200"/>
        <w:jc w:val="left"/>
        <w:rPr>
          <w:rFonts w:ascii="宋体" w:hAnsi="宋体"/>
          <w:b/>
          <w:bCs/>
          <w:color w:val="000000"/>
          <w:spacing w:val="-8"/>
          <w:szCs w:val="21"/>
          <w:shd w:val="clear" w:color="auto" w:fill="FFFFFF"/>
        </w:rPr>
      </w:pPr>
      <w:r>
        <w:rPr>
          <w:rFonts w:ascii="宋体" w:hAnsi="宋体"/>
          <w:b/>
          <w:bCs/>
          <w:color w:val="000000"/>
          <w:spacing w:val="-8"/>
          <w:szCs w:val="21"/>
          <w:shd w:val="clear" w:color="auto" w:fill="FFFFFF"/>
        </w:rPr>
        <w:t xml:space="preserve">响应时间：1秒  </w:t>
      </w:r>
      <w:r>
        <w:rPr>
          <w:rFonts w:hint="eastAsia" w:ascii="宋体" w:hAnsi="宋体"/>
          <w:b/>
          <w:bCs/>
          <w:color w:val="000000"/>
          <w:spacing w:val="-8"/>
          <w:szCs w:val="21"/>
          <w:shd w:val="clear" w:color="auto" w:fill="FFFFFF"/>
        </w:rPr>
        <w:t>；</w:t>
      </w:r>
      <w:r>
        <w:rPr>
          <w:rFonts w:ascii="宋体" w:hAnsi="宋体"/>
          <w:b/>
          <w:bCs/>
          <w:color w:val="000000"/>
          <w:spacing w:val="-8"/>
          <w:szCs w:val="21"/>
          <w:shd w:val="clear" w:color="auto" w:fill="FFFFFF"/>
        </w:rPr>
        <w:t xml:space="preserve">使用环境：温度(0~40)℃；湿度＜85％RH </w:t>
      </w:r>
      <w:r>
        <w:rPr>
          <w:rFonts w:hint="eastAsia" w:ascii="宋体" w:hAnsi="宋体"/>
          <w:b/>
          <w:bCs/>
          <w:color w:val="000000"/>
          <w:spacing w:val="-8"/>
          <w:szCs w:val="21"/>
          <w:shd w:val="clear" w:color="auto" w:fill="FFFFFF"/>
        </w:rPr>
        <w:t>。</w:t>
      </w:r>
    </w:p>
    <w:p>
      <w:pPr>
        <w:spacing w:afterLines="50" w:line="360" w:lineRule="exac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10、水质快速检测箱：</w:t>
      </w:r>
    </w:p>
    <w:p>
      <w:pPr>
        <w:spacing w:afterLines="50" w:line="360" w:lineRule="exact"/>
        <w:ind w:firstLine="422" w:firstLineChars="200"/>
        <w:rPr>
          <w:rFonts w:ascii="宋体" w:hAnsi="宋体"/>
          <w:b/>
          <w:bCs/>
          <w:szCs w:val="21"/>
        </w:rPr>
      </w:pPr>
      <w:r>
        <w:rPr>
          <w:rFonts w:hint="eastAsia" w:ascii="宋体" w:hAnsi="宋体"/>
          <w:b/>
          <w:bCs/>
          <w:szCs w:val="21"/>
        </w:rPr>
        <w:t>可检测饮用水的一般理化指标15项：如温度、色、臭、味、浑浊度、肉眼可见物、PH值、氨氮、亚硝酸盐氮、总硬度、总铁、氯化物、硫酸盐、漂白粉有效氯、总余氯、游离氯、结合氯等和常见毒物指标10项：如氟化物、六价铬、酚类、砷、氰化物、汞、镉、铅、钡、硼、等；。</w:t>
      </w:r>
    </w:p>
    <w:p>
      <w:pPr>
        <w:spacing w:afterLines="50" w:line="360" w:lineRule="exact"/>
        <w:ind w:firstLine="422" w:firstLineChars="200"/>
        <w:rPr>
          <w:rFonts w:ascii="宋体" w:hAnsi="宋体"/>
          <w:b/>
          <w:bCs/>
          <w:szCs w:val="21"/>
        </w:rPr>
      </w:pPr>
      <w:r>
        <w:rPr>
          <w:rFonts w:hint="eastAsia" w:ascii="宋体" w:hAnsi="宋体"/>
          <w:b/>
          <w:bCs/>
          <w:szCs w:val="21"/>
        </w:rPr>
        <w:t>主要采用试纸、试剂管、检测管等简易剂型，单元式组装，进行定量、半定量或定性检测。</w:t>
      </w:r>
    </w:p>
    <w:p>
      <w:pPr>
        <w:spacing w:afterLines="50" w:line="360" w:lineRule="exact"/>
        <w:ind w:firstLine="422" w:firstLineChars="200"/>
        <w:rPr>
          <w:rFonts w:ascii="宋体" w:hAnsi="宋体"/>
          <w:b/>
          <w:bCs/>
          <w:szCs w:val="21"/>
        </w:rPr>
      </w:pPr>
      <w:r>
        <w:rPr>
          <w:rFonts w:hint="eastAsia" w:ascii="宋体" w:hAnsi="宋体"/>
          <w:b/>
          <w:bCs/>
          <w:szCs w:val="21"/>
        </w:rPr>
        <w:t>其灵敏度符合国家饮水卫生要求，操作简易快速。</w:t>
      </w:r>
    </w:p>
    <w:p>
      <w:pPr>
        <w:spacing w:afterLines="50" w:line="360" w:lineRule="exact"/>
        <w:ind w:firstLine="422" w:firstLineChars="200"/>
        <w:rPr>
          <w:rFonts w:ascii="宋体" w:hAnsi="宋体"/>
          <w:b/>
          <w:bCs/>
          <w:szCs w:val="21"/>
        </w:rPr>
      </w:pPr>
      <w:r>
        <w:rPr>
          <w:rFonts w:hint="eastAsia" w:ascii="宋体" w:hAnsi="宋体"/>
          <w:b/>
          <w:bCs/>
          <w:szCs w:val="21"/>
        </w:rPr>
        <w:t>试剂稳定，可储存3-5年。</w:t>
      </w:r>
    </w:p>
    <w:p>
      <w:pPr>
        <w:spacing w:afterLines="50" w:line="360" w:lineRule="exact"/>
        <w:ind w:firstLine="422" w:firstLineChars="200"/>
        <w:rPr>
          <w:rFonts w:ascii="宋体" w:hAnsi="宋体"/>
          <w:b/>
          <w:bCs/>
          <w:szCs w:val="21"/>
        </w:rPr>
      </w:pPr>
      <w:r>
        <w:rPr>
          <w:rFonts w:hint="eastAsia" w:ascii="宋体" w:hAnsi="宋体"/>
          <w:b/>
          <w:bCs/>
          <w:szCs w:val="21"/>
        </w:rPr>
        <w:t>箱体为铝合金材质，手提箱式。推荐箱体体积为49CM×35CM×14CM。</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11、糖化血红蛋白分析仪：</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可检测测糖化血红蛋白（HbA1c）；</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快速实时检测并为临床提供可靠结果； </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标本要求：全血；</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未来可扩展检测项目≥5个。</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12、以上产品要求保修≥1年，终身进行维护及保养。</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13、以上产品全部要求为国产，操作方便，试剂容易购买。</w:t>
      </w:r>
    </w:p>
    <w:p>
      <w:pPr>
        <w:shd w:val="solid" w:color="FFFFFF" w:fill="auto"/>
        <w:autoSpaceDN w:val="0"/>
        <w:spacing w:line="360" w:lineRule="exact"/>
        <w:jc w:val="left"/>
        <w:rPr>
          <w:rFonts w:ascii="宋体" w:hAnsi="宋体"/>
          <w:b/>
          <w:bCs/>
          <w:color w:val="000000"/>
          <w:spacing w:val="-8"/>
          <w:szCs w:val="21"/>
          <w:shd w:val="clear" w:color="auto" w:fill="FFFFFF"/>
        </w:rPr>
      </w:pPr>
      <w:r>
        <w:rPr>
          <w:rFonts w:hint="eastAsia" w:ascii="宋体" w:hAnsi="宋体"/>
          <w:b/>
          <w:bCs/>
          <w:color w:val="000000"/>
          <w:spacing w:val="-8"/>
          <w:szCs w:val="21"/>
          <w:shd w:val="clear" w:color="auto" w:fill="FFFFFF"/>
        </w:rPr>
        <w:t xml:space="preserve"> 14、经销商须有体外诊断试剂经营资质。</w:t>
      </w:r>
    </w:p>
    <w:p>
      <w:pPr>
        <w:rPr>
          <w:b/>
          <w:bCs/>
          <w:sz w:val="24"/>
        </w:rPr>
      </w:pPr>
      <w:bookmarkStart w:id="53" w:name="_Toc23014"/>
      <w:bookmarkStart w:id="54" w:name="_Toc20580"/>
    </w:p>
    <w:p>
      <w:pPr>
        <w:spacing w:line="360" w:lineRule="auto"/>
        <w:ind w:firstLine="525" w:firstLineChars="250"/>
        <w:rPr>
          <w:rFonts w:ascii="宋体"/>
          <w:szCs w:val="21"/>
        </w:rPr>
      </w:pPr>
    </w:p>
    <w:p>
      <w:pPr>
        <w:widowControl/>
        <w:spacing w:line="400" w:lineRule="exact"/>
        <w:jc w:val="center"/>
        <w:rPr>
          <w:rFonts w:ascii="方正黑体简体" w:hAnsi="宋体" w:eastAsia="方正黑体简体"/>
          <w:b/>
          <w:sz w:val="36"/>
          <w:szCs w:val="36"/>
        </w:rPr>
      </w:pPr>
      <w:r>
        <w:rPr>
          <w:rFonts w:hint="eastAsia" w:ascii="宋体" w:hAnsi="宋体" w:cs="宋体"/>
          <w:b/>
          <w:sz w:val="36"/>
          <w:szCs w:val="36"/>
        </w:rPr>
        <w:t>第四章合同</w:t>
      </w:r>
      <w:bookmarkEnd w:id="53"/>
      <w:bookmarkStart w:id="55" w:name="_Toc11326"/>
      <w:r>
        <w:rPr>
          <w:rFonts w:hint="eastAsia" w:ascii="宋体" w:hAnsi="宋体" w:cs="宋体"/>
          <w:b/>
          <w:sz w:val="36"/>
          <w:szCs w:val="36"/>
        </w:rPr>
        <w:t>签订及条款</w:t>
      </w:r>
      <w:bookmarkEnd w:id="54"/>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6" w:name="_Toc13860"/>
      <w:bookmarkStart w:id="57" w:name="_Toc27253"/>
      <w:r>
        <w:rPr>
          <w:rFonts w:ascii="宋体" w:eastAsia="宋体" w:cs="宋体"/>
        </w:rPr>
        <w:t>1.</w:t>
      </w:r>
      <w:r>
        <w:rPr>
          <w:rFonts w:hint="eastAsia" w:ascii="宋体" w:eastAsia="宋体" w:cs="宋体"/>
        </w:rPr>
        <w:t>合同</w:t>
      </w:r>
      <w:bookmarkEnd w:id="55"/>
      <w:r>
        <w:rPr>
          <w:rFonts w:hint="eastAsia" w:ascii="宋体" w:eastAsia="宋体" w:cs="宋体"/>
        </w:rPr>
        <w:t>签订</w:t>
      </w:r>
      <w:bookmarkEnd w:id="56"/>
      <w:bookmarkEnd w:id="57"/>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58" w:name="_Toc31900"/>
      <w:bookmarkStart w:id="59" w:name="_Toc9992"/>
      <w:bookmarkStart w:id="60" w:name="_Toc19323"/>
      <w:r>
        <w:rPr>
          <w:rFonts w:ascii="宋体" w:eastAsia="宋体" w:cs="宋体"/>
          <w:sz w:val="30"/>
          <w:szCs w:val="30"/>
        </w:rPr>
        <w:t>2.</w:t>
      </w:r>
      <w:r>
        <w:rPr>
          <w:rFonts w:hint="eastAsia" w:ascii="宋体" w:eastAsia="宋体" w:cs="宋体"/>
          <w:sz w:val="30"/>
          <w:szCs w:val="30"/>
        </w:rPr>
        <w:t>合同一般条款</w:t>
      </w:r>
      <w:bookmarkEnd w:id="58"/>
      <w:bookmarkEnd w:id="59"/>
    </w:p>
    <w:p>
      <w:pPr>
        <w:snapToGrid w:val="0"/>
        <w:spacing w:line="380" w:lineRule="exact"/>
        <w:rPr>
          <w:rFonts w:ascii="宋体" w:cs="宋体"/>
          <w:bCs/>
          <w:szCs w:val="21"/>
        </w:rPr>
      </w:pPr>
      <w:r>
        <w:rPr>
          <w:rFonts w:ascii="宋体" w:hAnsi="宋体" w:cs="宋体"/>
          <w:bCs/>
          <w:szCs w:val="21"/>
        </w:rPr>
        <w:t>2.1</w:t>
      </w:r>
      <w:r>
        <w:rPr>
          <w:rFonts w:hint="eastAsia" w:ascii="宋体" w:hAnsi="宋体" w:cs="宋体"/>
          <w:bCs/>
          <w:szCs w:val="21"/>
        </w:rPr>
        <w:t>、定义</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380" w:lineRule="exact"/>
        <w:rPr>
          <w:rFonts w:ascii="宋体" w:cs="宋体"/>
          <w:bCs/>
          <w:szCs w:val="21"/>
        </w:rPr>
      </w:pPr>
      <w:r>
        <w:rPr>
          <w:rFonts w:ascii="宋体" w:hAnsi="宋体" w:cs="宋体"/>
          <w:bCs/>
          <w:szCs w:val="21"/>
        </w:rPr>
        <w:t>2.2</w:t>
      </w:r>
      <w:r>
        <w:rPr>
          <w:rFonts w:hint="eastAsia" w:ascii="宋体" w:hAnsi="宋体" w:cs="宋体"/>
          <w:bCs/>
          <w:szCs w:val="21"/>
        </w:rPr>
        <w:t>、货物内容</w:t>
      </w:r>
    </w:p>
    <w:p>
      <w:pPr>
        <w:snapToGrid w:val="0"/>
        <w:spacing w:line="38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380" w:lineRule="exact"/>
        <w:rPr>
          <w:rFonts w:ascii="宋体" w:cs="宋体"/>
          <w:bCs/>
          <w:szCs w:val="21"/>
        </w:rPr>
      </w:pPr>
      <w:r>
        <w:rPr>
          <w:rFonts w:ascii="宋体" w:hAnsi="宋体" w:cs="宋体"/>
          <w:bCs/>
          <w:szCs w:val="21"/>
        </w:rPr>
        <w:t>2.3</w:t>
      </w:r>
      <w:r>
        <w:rPr>
          <w:rFonts w:hint="eastAsia" w:ascii="宋体" w:hAnsi="宋体" w:cs="宋体"/>
          <w:bCs/>
          <w:szCs w:val="21"/>
        </w:rPr>
        <w:t>、合同价格</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szCs w:val="21"/>
        </w:rPr>
      </w:pPr>
      <w:r>
        <w:rPr>
          <w:rFonts w:ascii="宋体" w:hAnsi="宋体" w:cs="宋体"/>
          <w:bCs/>
          <w:szCs w:val="21"/>
        </w:rPr>
        <w:t>2.4</w:t>
      </w:r>
      <w:r>
        <w:rPr>
          <w:rFonts w:hint="eastAsia" w:ascii="宋体" w:hAnsi="宋体" w:cs="宋体"/>
          <w:bCs/>
          <w:szCs w:val="21"/>
        </w:rPr>
        <w:t>、转包或分包</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8"/>
        <w:spacing w:line="380" w:lineRule="exact"/>
        <w:rPr>
          <w:rFonts w:hAnsi="宋体" w:cs="宋体"/>
        </w:rPr>
      </w:pPr>
      <w:r>
        <w:rPr>
          <w:rFonts w:hAnsi="宋体" w:cs="宋体"/>
          <w:bCs/>
        </w:rPr>
        <w:t>2.5</w:t>
      </w:r>
      <w:r>
        <w:rPr>
          <w:rFonts w:hint="eastAsia" w:hAnsi="宋体" w:cs="宋体"/>
          <w:bCs/>
        </w:rPr>
        <w:t>、质量保证及售后服务</w:t>
      </w:r>
    </w:p>
    <w:p>
      <w:pPr>
        <w:pStyle w:val="8"/>
        <w:spacing w:line="38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8"/>
        <w:spacing w:line="38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8"/>
        <w:spacing w:line="38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8"/>
        <w:spacing w:line="380" w:lineRule="exact"/>
        <w:ind w:firstLine="420" w:firstLineChars="200"/>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8"/>
        <w:spacing w:line="380" w:lineRule="exact"/>
        <w:ind w:firstLine="420" w:firstLineChars="200"/>
        <w:rPr>
          <w:rFonts w:hAnsi="宋体" w:cs="宋体"/>
        </w:rPr>
      </w:pP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X</w:t>
      </w:r>
      <w:r>
        <w:rPr>
          <w:rFonts w:hint="eastAsia" w:hAnsi="宋体" w:cs="宋体"/>
        </w:rPr>
        <w:t>年。超过保修期的机器设备，终生维修，维修时只收部件成本费。</w:t>
      </w:r>
    </w:p>
    <w:p>
      <w:pPr>
        <w:snapToGrid w:val="0"/>
        <w:spacing w:line="380" w:lineRule="exact"/>
        <w:ind w:firstLine="420" w:firstLineChars="200"/>
        <w:rPr>
          <w:rFonts w:asci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380" w:lineRule="exact"/>
        <w:rPr>
          <w:rFonts w:ascii="宋体" w:cs="宋体"/>
          <w:bCs/>
          <w:szCs w:val="21"/>
        </w:rPr>
      </w:pPr>
      <w:r>
        <w:rPr>
          <w:rFonts w:ascii="宋体" w:hAnsi="宋体" w:cs="宋体"/>
          <w:bCs/>
          <w:szCs w:val="21"/>
        </w:rPr>
        <w:t>2.6</w:t>
      </w:r>
      <w:r>
        <w:rPr>
          <w:rFonts w:hint="eastAsia" w:ascii="宋体" w:hAnsi="宋体" w:cs="宋体"/>
          <w:bCs/>
          <w:szCs w:val="21"/>
        </w:rPr>
        <w:t>、付款</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380" w:lineRule="exact"/>
        <w:rPr>
          <w:rFonts w:ascii="宋体" w:cs="宋体"/>
          <w:bCs/>
          <w:szCs w:val="21"/>
        </w:rPr>
      </w:pPr>
      <w:r>
        <w:rPr>
          <w:rFonts w:ascii="宋体" w:hAnsi="宋体" w:cs="宋体"/>
          <w:bCs/>
          <w:szCs w:val="21"/>
        </w:rPr>
        <w:t>2.7</w:t>
      </w:r>
      <w:r>
        <w:rPr>
          <w:rFonts w:hint="eastAsia" w:ascii="宋体" w:hAnsi="宋体" w:cs="宋体"/>
          <w:bCs/>
          <w:szCs w:val="21"/>
        </w:rPr>
        <w:t>、检查验收</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380" w:lineRule="exact"/>
        <w:ind w:firstLine="570"/>
        <w:rPr>
          <w:rFonts w:asci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380" w:lineRule="exact"/>
        <w:rPr>
          <w:rFonts w:ascii="宋体" w:cs="宋体"/>
          <w:bCs/>
          <w:szCs w:val="21"/>
        </w:rPr>
      </w:pPr>
      <w:r>
        <w:rPr>
          <w:rFonts w:ascii="宋体" w:hAnsi="宋体" w:cs="宋体"/>
          <w:bCs/>
          <w:szCs w:val="21"/>
        </w:rPr>
        <w:t>2.8</w:t>
      </w:r>
      <w:r>
        <w:rPr>
          <w:rFonts w:hint="eastAsia" w:ascii="宋体" w:hAnsi="宋体" w:cs="宋体"/>
          <w:bCs/>
          <w:szCs w:val="21"/>
        </w:rPr>
        <w:t>、索赔</w:t>
      </w:r>
    </w:p>
    <w:p>
      <w:pPr>
        <w:snapToGrid w:val="0"/>
        <w:spacing w:line="38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8"/>
        <w:spacing w:line="380" w:lineRule="exact"/>
        <w:rPr>
          <w:rFonts w:hAnsi="宋体" w:cs="宋体"/>
          <w:bCs/>
        </w:rPr>
      </w:pPr>
      <w:r>
        <w:rPr>
          <w:rFonts w:hAnsi="宋体" w:cs="宋体"/>
          <w:bCs/>
        </w:rPr>
        <w:t>2.9</w:t>
      </w:r>
      <w:r>
        <w:rPr>
          <w:rFonts w:hint="eastAsia" w:hAnsi="宋体" w:cs="宋体"/>
          <w:bCs/>
        </w:rPr>
        <w:t>、知识产权</w:t>
      </w:r>
    </w:p>
    <w:p>
      <w:pPr>
        <w:snapToGrid w:val="0"/>
        <w:spacing w:line="38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380" w:lineRule="exact"/>
        <w:rPr>
          <w:rFonts w:ascii="宋体" w:cs="宋体"/>
          <w:szCs w:val="21"/>
          <w:u w:val="single"/>
          <w:lang w:val="zh-CN"/>
        </w:rPr>
      </w:pPr>
      <w:r>
        <w:rPr>
          <w:rFonts w:hint="eastAsia" w:ascii="宋体" w:hAnsi="宋体" w:cs="宋体"/>
          <w:szCs w:val="21"/>
          <w:lang w:val="zh-CN"/>
        </w:rPr>
        <w:t>培训地点：；培训时间：；</w:t>
      </w:r>
    </w:p>
    <w:p>
      <w:pPr>
        <w:autoSpaceDE w:val="0"/>
        <w:autoSpaceDN w:val="0"/>
        <w:spacing w:line="380" w:lineRule="exact"/>
        <w:rPr>
          <w:rFonts w:ascii="宋体" w:cs="宋体"/>
          <w:szCs w:val="21"/>
          <w:lang w:val="zh-CN"/>
        </w:rPr>
      </w:pPr>
      <w:r>
        <w:rPr>
          <w:rFonts w:hint="eastAsia" w:ascii="宋体" w:hAnsi="宋体" w:cs="宋体"/>
          <w:szCs w:val="21"/>
          <w:lang w:val="zh-CN"/>
        </w:rPr>
        <w:t>培训方式：；</w:t>
      </w:r>
    </w:p>
    <w:p>
      <w:pPr>
        <w:autoSpaceDE w:val="0"/>
        <w:autoSpaceDN w:val="0"/>
        <w:spacing w:line="380" w:lineRule="exact"/>
        <w:rPr>
          <w:rFonts w:ascii="宋体" w:cs="宋体"/>
          <w:vanish/>
          <w:szCs w:val="21"/>
          <w:lang w:val="zh-CN"/>
        </w:rPr>
      </w:pPr>
    </w:p>
    <w:p>
      <w:pPr>
        <w:snapToGrid w:val="0"/>
        <w:spacing w:line="38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38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61" w:name="_Toc22180"/>
    </w:p>
    <w:p>
      <w:pPr>
        <w:pStyle w:val="3"/>
        <w:rPr>
          <w:rFonts w:ascii="宋体" w:eastAsia="宋体" w:cs="宋体"/>
        </w:rPr>
      </w:pPr>
      <w:bookmarkStart w:id="62" w:name="_Toc23808"/>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End w:id="60"/>
      <w:bookmarkStart w:id="63" w:name="_Toc12360"/>
      <w:bookmarkStart w:id="64" w:name="_Toc292980968"/>
      <w:bookmarkStart w:id="65" w:name="_Toc6436"/>
      <w:r>
        <w:rPr>
          <w:rFonts w:hint="eastAsia" w:ascii="宋体" w:eastAsia="宋体" w:cs="宋体"/>
        </w:rPr>
        <w:t>（特别约定条款）</w:t>
      </w:r>
      <w:bookmarkEnd w:id="61"/>
      <w:bookmarkEnd w:id="62"/>
    </w:p>
    <w:p>
      <w:pPr>
        <w:jc w:val="center"/>
        <w:rPr>
          <w:rFonts w:ascii="宋体" w:cs="宋体"/>
          <w:sz w:val="32"/>
          <w:szCs w:val="32"/>
        </w:rPr>
      </w:pPr>
      <w:r>
        <w:rPr>
          <w:rFonts w:hint="eastAsia" w:ascii="宋体" w:hAnsi="宋体" w:cs="宋体"/>
          <w:b/>
          <w:sz w:val="32"/>
          <w:szCs w:val="32"/>
        </w:rPr>
        <w:t>（注：可结合具体招标项目进行更明确的约定）</w:t>
      </w:r>
      <w:bookmarkEnd w:id="63"/>
      <w:bookmarkEnd w:id="64"/>
      <w:bookmarkEnd w:id="65"/>
    </w:p>
    <w:p>
      <w:pPr>
        <w:spacing w:line="340" w:lineRule="exact"/>
        <w:rPr>
          <w:rFonts w:ascii="宋体"/>
          <w:b/>
          <w:szCs w:val="21"/>
        </w:rPr>
      </w:pPr>
    </w:p>
    <w:p>
      <w:pPr>
        <w:spacing w:line="340" w:lineRule="exact"/>
        <w:jc w:val="center"/>
        <w:rPr>
          <w:rFonts w:ascii="宋体"/>
          <w:b/>
          <w:sz w:val="30"/>
          <w:szCs w:val="30"/>
        </w:rPr>
      </w:pPr>
      <w:r>
        <w:rPr>
          <w:rFonts w:hint="eastAsia" w:ascii="宋体" w:hAnsi="宋体"/>
          <w:b/>
          <w:sz w:val="30"/>
          <w:szCs w:val="30"/>
        </w:rPr>
        <w:t>温县政府集中采购合同</w:t>
      </w:r>
    </w:p>
    <w:p>
      <w:pPr>
        <w:spacing w:line="340" w:lineRule="exact"/>
        <w:jc w:val="center"/>
        <w:rPr>
          <w:rFonts w:ascii="宋体"/>
          <w:b/>
          <w:szCs w:val="21"/>
        </w:rPr>
      </w:pPr>
    </w:p>
    <w:p>
      <w:pPr>
        <w:spacing w:line="340" w:lineRule="exact"/>
        <w:rPr>
          <w:rFonts w:ascii="宋体" w:cs="宋体"/>
          <w:szCs w:val="21"/>
          <w:u w:val="single"/>
          <w:lang w:val="zh-CN"/>
        </w:rPr>
      </w:pPr>
      <w:r>
        <w:rPr>
          <w:rFonts w:hint="eastAsia" w:ascii="宋体" w:hAnsi="宋体" w:cs="宋体"/>
          <w:szCs w:val="21"/>
          <w:lang w:val="zh-CN"/>
        </w:rPr>
        <w:t>合同编号：</w:t>
      </w:r>
    </w:p>
    <w:p>
      <w:pPr>
        <w:spacing w:line="340" w:lineRule="exact"/>
        <w:rPr>
          <w:rFonts w:ascii="宋体" w:cs="宋体"/>
          <w:szCs w:val="21"/>
          <w:u w:val="single"/>
          <w:lang w:val="zh-CN"/>
        </w:rPr>
      </w:pPr>
      <w:r>
        <w:rPr>
          <w:rFonts w:hint="eastAsia" w:ascii="宋体" w:hAnsi="宋体" w:cs="宋体"/>
          <w:szCs w:val="21"/>
          <w:lang w:val="zh-CN"/>
        </w:rPr>
        <w:t>需方（甲方）（采购人全称）：</w:t>
      </w:r>
    </w:p>
    <w:p>
      <w:pPr>
        <w:spacing w:line="340" w:lineRule="exact"/>
        <w:rPr>
          <w:rFonts w:ascii="宋体" w:cs="宋体"/>
          <w:szCs w:val="21"/>
          <w:u w:val="single"/>
          <w:lang w:val="zh-CN"/>
        </w:rPr>
      </w:pPr>
      <w:r>
        <w:rPr>
          <w:rFonts w:hint="eastAsia" w:ascii="宋体" w:hAnsi="宋体" w:cs="宋体"/>
          <w:szCs w:val="21"/>
          <w:lang w:val="zh-CN"/>
        </w:rPr>
        <w:t>供方（乙方）（中标供应商全称）：</w:t>
      </w:r>
    </w:p>
    <w:p>
      <w:pPr>
        <w:spacing w:line="340" w:lineRule="exact"/>
        <w:rPr>
          <w:rFonts w:asci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340" w:lineRule="exact"/>
        <w:rPr>
          <w:rFonts w:asci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4"/>
        <w:tblW w:w="9200" w:type="dxa"/>
        <w:jc w:val="center"/>
        <w:tblInd w:w="0" w:type="dxa"/>
        <w:tblLayout w:type="fixed"/>
        <w:tblCellMar>
          <w:top w:w="0" w:type="dxa"/>
          <w:left w:w="108" w:type="dxa"/>
          <w:bottom w:w="0" w:type="dxa"/>
          <w:right w:w="108" w:type="dxa"/>
        </w:tblCellMar>
      </w:tblPr>
      <w:tblGrid>
        <w:gridCol w:w="874"/>
        <w:gridCol w:w="1199"/>
        <w:gridCol w:w="2239"/>
        <w:gridCol w:w="543"/>
        <w:gridCol w:w="711"/>
        <w:gridCol w:w="736"/>
        <w:gridCol w:w="724"/>
        <w:gridCol w:w="1034"/>
        <w:gridCol w:w="1114"/>
        <w:gridCol w:w="26"/>
      </w:tblGrid>
      <w:tr>
        <w:tblPrEx>
          <w:tblLayout w:type="fixed"/>
          <w:tblCellMar>
            <w:top w:w="0" w:type="dxa"/>
            <w:left w:w="108" w:type="dxa"/>
            <w:bottom w:w="0" w:type="dxa"/>
            <w:right w:w="108" w:type="dxa"/>
          </w:tblCellMar>
        </w:tblPrEx>
        <w:trPr>
          <w:gridAfter w:val="1"/>
          <w:wAfter w:w="26" w:type="dxa"/>
          <w:trHeight w:val="758"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名称</w:t>
            </w: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品牌</w:t>
            </w:r>
            <w:r>
              <w:rPr>
                <w:rFonts w:ascii="宋体" w:hAnsi="宋体" w:cs="宋体"/>
                <w:szCs w:val="21"/>
                <w:lang w:val="zh-CN"/>
              </w:rPr>
              <w:t>/</w:t>
            </w:r>
            <w:r>
              <w:rPr>
                <w:rFonts w:hint="eastAsia" w:ascii="宋体" w:hAnsi="宋体" w:cs="宋体"/>
                <w:szCs w:val="21"/>
                <w:lang w:val="zh-CN"/>
              </w:rPr>
              <w:t>规格</w:t>
            </w:r>
            <w:r>
              <w:rPr>
                <w:rFonts w:ascii="宋体" w:hAnsi="宋体" w:cs="宋体"/>
                <w:szCs w:val="21"/>
                <w:lang w:val="zh-CN"/>
              </w:rPr>
              <w:t>/</w:t>
            </w:r>
            <w:r>
              <w:rPr>
                <w:rFonts w:hint="eastAsia" w:ascii="宋体" w:hAnsi="宋体" w:cs="宋体"/>
                <w:szCs w:val="21"/>
                <w:lang w:val="zh-CN"/>
              </w:rPr>
              <w:t>型号</w:t>
            </w: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技术参数</w:t>
            </w:r>
          </w:p>
          <w:p>
            <w:pPr>
              <w:spacing w:line="340" w:lineRule="exact"/>
              <w:rPr>
                <w:rFonts w:ascii="宋体" w:cs="宋体"/>
                <w:szCs w:val="21"/>
                <w:lang w:val="zh-CN"/>
              </w:rPr>
            </w:pPr>
            <w:r>
              <w:rPr>
                <w:rFonts w:ascii="宋体" w:hAnsi="宋体" w:cs="宋体"/>
                <w:szCs w:val="21"/>
                <w:lang w:val="zh-CN"/>
              </w:rPr>
              <w:t>(</w:t>
            </w:r>
            <w:r>
              <w:rPr>
                <w:rFonts w:hint="eastAsia" w:ascii="宋体" w:hAnsi="宋体" w:cs="宋体"/>
                <w:szCs w:val="21"/>
                <w:lang w:val="zh-CN"/>
              </w:rPr>
              <w:t>详细配置</w:t>
            </w:r>
            <w:r>
              <w:rPr>
                <w:rFonts w:ascii="宋体" w:hAnsi="宋体" w:cs="宋体"/>
                <w:szCs w:val="21"/>
                <w:lang w:val="zh-CN"/>
              </w:rPr>
              <w:t>)</w:t>
            </w: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单位</w:t>
            </w: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单价</w:t>
            </w: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数量</w:t>
            </w: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合计</w:t>
            </w:r>
          </w:p>
          <w:p>
            <w:pPr>
              <w:spacing w:line="340" w:lineRule="exact"/>
              <w:rPr>
                <w:rFonts w:ascii="宋体" w:cs="宋体"/>
                <w:szCs w:val="21"/>
                <w:lang w:val="zh-CN"/>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r>
              <w:rPr>
                <w:rFonts w:hint="eastAsia" w:ascii="宋体" w:hAnsi="宋体" w:cs="宋体"/>
                <w:szCs w:val="21"/>
                <w:lang w:val="zh-CN"/>
              </w:rPr>
              <w:t>免费质保期</w:t>
            </w: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其它</w:t>
            </w: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tcPr>
          <w:p>
            <w:pPr>
              <w:spacing w:line="340" w:lineRule="exact"/>
              <w:rPr>
                <w:rFonts w:ascii="宋体"/>
                <w:szCs w:val="21"/>
              </w:rPr>
            </w:pPr>
          </w:p>
        </w:tc>
      </w:tr>
      <w:tr>
        <w:tblPrEx>
          <w:tblLayout w:type="fixed"/>
          <w:tblCellMar>
            <w:top w:w="0" w:type="dxa"/>
            <w:left w:w="108" w:type="dxa"/>
            <w:bottom w:w="0" w:type="dxa"/>
            <w:right w:w="108" w:type="dxa"/>
          </w:tblCellMar>
        </w:tblPrEx>
        <w:trPr>
          <w:trHeight w:val="400" w:hRule="atLeast"/>
          <w:jc w:val="center"/>
        </w:trPr>
        <w:tc>
          <w:tcPr>
            <w:tcW w:w="874"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lang w:val="zh-CN"/>
              </w:rPr>
            </w:pPr>
            <w:r>
              <w:rPr>
                <w:rFonts w:hint="eastAsia" w:ascii="宋体" w:hAnsi="宋体" w:cs="宋体"/>
                <w:szCs w:val="21"/>
                <w:lang w:val="zh-CN"/>
              </w:rPr>
              <w:t>总价（人民币）</w:t>
            </w:r>
          </w:p>
        </w:tc>
        <w:tc>
          <w:tcPr>
            <w:tcW w:w="8326"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744" w:hRule="atLeast"/>
          <w:jc w:val="center"/>
        </w:trPr>
        <w:tc>
          <w:tcPr>
            <w:tcW w:w="874"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8326"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340" w:lineRule="exact"/>
        <w:rPr>
          <w:rFonts w:ascii="宋体" w:cs="宋体"/>
          <w:b/>
          <w:szCs w:val="21"/>
          <w:lang w:val="zh-CN"/>
        </w:rPr>
      </w:pP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szCs w:val="21"/>
          <w:lang w:val="zh-CN"/>
        </w:rPr>
      </w:pP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hint="eastAsia" w:ascii="宋体" w:hAnsi="宋体" w:cs="宋体"/>
          <w:szCs w:val="21"/>
          <w:lang w:val="zh-CN"/>
        </w:rPr>
        <w:t>售后服务响应时间：</w:t>
      </w:r>
    </w:p>
    <w:p>
      <w:pPr>
        <w:spacing w:line="340" w:lineRule="exact"/>
        <w:rPr>
          <w:rFonts w:ascii="宋体" w:cs="宋体"/>
          <w:szCs w:val="21"/>
          <w:lang w:val="zh-CN"/>
        </w:rPr>
      </w:pPr>
      <w:r>
        <w:rPr>
          <w:rFonts w:hint="eastAsia" w:ascii="宋体" w:hAnsi="宋体" w:cs="宋体"/>
          <w:szCs w:val="21"/>
          <w:lang w:val="zh-CN"/>
        </w:rPr>
        <w:t>解决问题时间：</w:t>
      </w:r>
    </w:p>
    <w:p>
      <w:pPr>
        <w:spacing w:line="340" w:lineRule="exact"/>
        <w:rPr>
          <w:rFonts w:ascii="宋体" w:cs="宋体"/>
          <w:szCs w:val="21"/>
          <w:lang w:val="zh-CN"/>
        </w:rPr>
      </w:pPr>
      <w:r>
        <w:rPr>
          <w:rFonts w:hint="eastAsia" w:ascii="宋体" w:hAnsi="宋体" w:cs="宋体"/>
          <w:szCs w:val="21"/>
          <w:lang w:val="zh-CN"/>
        </w:rPr>
        <w:t>售后服务机构名称、地址及联系方式：</w:t>
      </w:r>
    </w:p>
    <w:p>
      <w:pPr>
        <w:spacing w:line="340" w:lineRule="exact"/>
        <w:rPr>
          <w:rFonts w:ascii="宋体" w:cs="宋体"/>
          <w:szCs w:val="21"/>
          <w:lang w:val="zh-CN"/>
        </w:rPr>
      </w:pPr>
      <w:r>
        <w:rPr>
          <w:rFonts w:hint="eastAsia" w:ascii="宋体" w:hAnsi="宋体" w:cs="宋体"/>
          <w:szCs w:val="21"/>
          <w:lang w:val="zh-CN"/>
        </w:rPr>
        <w:t>其他服务承诺：所投产品必须免费提供备用机，在设备返厂维修或不能正常工作时提供备用。</w:t>
      </w:r>
    </w:p>
    <w:p>
      <w:pPr>
        <w:spacing w:line="340" w:lineRule="exact"/>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szCs w:val="21"/>
          <w:lang w:val="zh-CN"/>
        </w:rPr>
      </w:pPr>
      <w:r>
        <w:rPr>
          <w:rFonts w:hint="eastAsia" w:ascii="宋体" w:hAnsi="宋体" w:cs="宋体"/>
          <w:b/>
          <w:szCs w:val="21"/>
          <w:lang w:val="zh-CN"/>
        </w:rPr>
        <w:t>七、安全施工要求：</w:t>
      </w:r>
      <w:r>
        <w:rPr>
          <w:rFonts w:hint="eastAsia" w:ascii="宋体" w:hAnsi="宋体" w:cs="宋体"/>
          <w:szCs w:val="21"/>
          <w:lang w:val="zh-CN"/>
        </w:rPr>
        <w:t>供方在施工中要安排专人负责，指定有资质的施工队按照国家规定严格施工，如在施工中发生一切事故由供方负责，与需方无关。</w:t>
      </w:r>
    </w:p>
    <w:p>
      <w:pPr>
        <w:spacing w:line="340" w:lineRule="exact"/>
        <w:rPr>
          <w:rFonts w:ascii="宋体" w:cs="宋体"/>
          <w:b/>
          <w:szCs w:val="21"/>
          <w:lang w:val="zh-CN"/>
        </w:rPr>
      </w:pPr>
      <w:r>
        <w:rPr>
          <w:rFonts w:hint="eastAsia" w:ascii="宋体" w:hAnsi="宋体" w:cs="宋体"/>
          <w:b/>
          <w:szCs w:val="21"/>
          <w:lang w:val="zh-CN"/>
        </w:rPr>
        <w:t>八、验收要求。</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、验收合格后日内，需方出具《温县政府采购验收报告》。</w:t>
      </w:r>
    </w:p>
    <w:p>
      <w:pPr>
        <w:spacing w:line="340" w:lineRule="exact"/>
        <w:rPr>
          <w:rFonts w:ascii="宋体" w:cs="宋体"/>
          <w:b/>
          <w:szCs w:val="21"/>
          <w:lang w:val="zh-CN"/>
        </w:rPr>
      </w:pPr>
      <w:r>
        <w:rPr>
          <w:rFonts w:hint="eastAsia" w:ascii="宋体" w:hAnsi="宋体" w:cs="宋体"/>
          <w:b/>
          <w:szCs w:val="21"/>
          <w:lang w:val="zh-CN"/>
        </w:rPr>
        <w:t>九、付款程序、方式及期限：</w:t>
      </w:r>
    </w:p>
    <w:p>
      <w:pPr>
        <w:spacing w:line="340" w:lineRule="exact"/>
        <w:rPr>
          <w:rFonts w:ascii="宋体" w:cs="宋体"/>
          <w:bCs/>
          <w:szCs w:val="21"/>
          <w:lang w:val="zh-CN"/>
        </w:rPr>
      </w:pPr>
      <w:r>
        <w:rPr>
          <w:rFonts w:hint="eastAsia" w:ascii="宋体" w:hAnsi="宋体" w:cs="宋体"/>
          <w:bCs/>
          <w:szCs w:val="21"/>
          <w:lang w:val="zh-CN"/>
        </w:rPr>
        <w:t>项目验收合格经财政审计部门审核后付至合同总金额的</w:t>
      </w:r>
      <w:r>
        <w:rPr>
          <w:rFonts w:ascii="宋体" w:hAnsi="宋体" w:cs="宋体"/>
          <w:bCs/>
          <w:szCs w:val="21"/>
          <w:lang w:val="zh-CN"/>
        </w:rPr>
        <w:t>90%</w:t>
      </w:r>
      <w:r>
        <w:rPr>
          <w:rFonts w:hint="eastAsia" w:ascii="宋体" w:hAnsi="宋体" w:cs="宋体"/>
          <w:bCs/>
          <w:szCs w:val="21"/>
          <w:lang w:val="zh-CN"/>
        </w:rPr>
        <w:t>，剩余</w:t>
      </w:r>
      <w:r>
        <w:rPr>
          <w:rFonts w:ascii="宋体" w:hAnsi="宋体" w:cs="宋体"/>
          <w:bCs/>
          <w:szCs w:val="21"/>
          <w:lang w:val="zh-CN"/>
        </w:rPr>
        <w:t>10%</w:t>
      </w:r>
      <w:r>
        <w:rPr>
          <w:rFonts w:hint="eastAsia" w:ascii="宋体" w:hAnsi="宋体" w:cs="宋体"/>
          <w:bCs/>
          <w:szCs w:val="21"/>
          <w:lang w:val="zh-CN"/>
        </w:rPr>
        <w:t>为质保金</w:t>
      </w:r>
      <w:r>
        <w:rPr>
          <w:rFonts w:ascii="宋体" w:hAnsi="宋体" w:cs="宋体"/>
          <w:bCs/>
          <w:szCs w:val="21"/>
        </w:rPr>
        <w:t>1</w:t>
      </w:r>
      <w:r>
        <w:rPr>
          <w:rFonts w:hint="eastAsia" w:ascii="宋体" w:hAnsi="宋体" w:cs="宋体"/>
          <w:bCs/>
          <w:szCs w:val="21"/>
          <w:lang w:val="zh-CN"/>
        </w:rPr>
        <w:t>年以后无息付清。</w:t>
      </w:r>
    </w:p>
    <w:p>
      <w:pPr>
        <w:spacing w:line="340" w:lineRule="exact"/>
        <w:rPr>
          <w:rFonts w:ascii="宋体" w:cs="宋体"/>
          <w:b/>
          <w:szCs w:val="21"/>
          <w:lang w:val="zh-CN"/>
        </w:rPr>
      </w:pPr>
      <w:r>
        <w:rPr>
          <w:rFonts w:hint="eastAsia" w:ascii="宋体" w:hAnsi="宋体" w:cs="宋体"/>
          <w:b/>
          <w:szCs w:val="21"/>
          <w:lang w:val="zh-CN"/>
        </w:rPr>
        <w:t>十、本合同单价及总价为不变价，不受市场风险等因素的影响。</w:t>
      </w:r>
    </w:p>
    <w:p>
      <w:pPr>
        <w:spacing w:line="340" w:lineRule="exact"/>
        <w:rPr>
          <w:rFonts w:ascii="宋体" w:cs="宋体"/>
          <w:b/>
          <w:szCs w:val="21"/>
          <w:lang w:val="zh-CN"/>
        </w:rPr>
      </w:pPr>
      <w:r>
        <w:rPr>
          <w:rFonts w:hint="eastAsia" w:ascii="宋体" w:hAnsi="宋体" w:cs="宋体"/>
          <w:b/>
          <w:szCs w:val="21"/>
          <w:lang w:val="zh-CN"/>
        </w:rPr>
        <w:t>十一、违约责任</w:t>
      </w:r>
    </w:p>
    <w:p>
      <w:pPr>
        <w:spacing w:line="340" w:lineRule="exact"/>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hint="eastAsia" w:ascii="宋体" w:hAnsi="宋体" w:cs="宋体"/>
          <w:b/>
          <w:szCs w:val="21"/>
          <w:lang w:val="zh-CN"/>
        </w:rPr>
        <w:t>十二、争议的解决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b/>
          <w:szCs w:val="21"/>
        </w:rPr>
      </w:pPr>
      <w:r>
        <w:rPr>
          <w:rFonts w:hint="eastAsia" w:ascii="宋体" w:hAnsi="宋体"/>
          <w:b/>
          <w:szCs w:val="21"/>
        </w:rPr>
        <w:t>十三、合同生效、备案及其它</w:t>
      </w:r>
    </w:p>
    <w:p>
      <w:pPr>
        <w:spacing w:line="340" w:lineRule="exact"/>
        <w:rPr>
          <w:rFonts w:ascii="宋体"/>
          <w:szCs w:val="21"/>
        </w:rPr>
      </w:pPr>
      <w:r>
        <w:rPr>
          <w:rFonts w:ascii="宋体" w:hAnsi="宋体"/>
          <w:szCs w:val="21"/>
        </w:rPr>
        <w:t>1</w:t>
      </w:r>
      <w:r>
        <w:rPr>
          <w:rFonts w:hint="eastAsia" w:ascii="宋体" w:hAnsi="宋体"/>
          <w:szCs w:val="21"/>
        </w:rPr>
        <w:t>、本合同经双方代表签字并加盖公章后生效。</w:t>
      </w:r>
    </w:p>
    <w:p>
      <w:pPr>
        <w:spacing w:line="340" w:lineRule="exact"/>
        <w:rPr>
          <w:rFonts w:ascii="宋体"/>
          <w:szCs w:val="21"/>
          <w:u w:val="single"/>
        </w:rPr>
      </w:pPr>
      <w:r>
        <w:rPr>
          <w:rFonts w:ascii="宋体" w:hAnsi="宋体"/>
          <w:szCs w:val="21"/>
        </w:rPr>
        <w:t>2</w:t>
      </w:r>
      <w:r>
        <w:rPr>
          <w:rFonts w:hint="eastAsia" w:ascii="宋体" w:hAnsi="宋体"/>
          <w:szCs w:val="21"/>
        </w:rPr>
        <w:t>、</w:t>
      </w:r>
      <w:r>
        <w:rPr>
          <w:rFonts w:hint="eastAsia" w:ascii="宋体" w:hAnsi="宋体"/>
          <w:szCs w:val="21"/>
          <w:u w:val="single"/>
        </w:rPr>
        <w:t>本合同一式五份，供需双方各持一份，</w:t>
      </w:r>
      <w:r>
        <w:rPr>
          <w:rFonts w:hint="eastAsia" w:ascii="宋体" w:hAnsi="宋体"/>
          <w:b/>
          <w:bCs/>
          <w:szCs w:val="21"/>
          <w:u w:val="single"/>
        </w:rPr>
        <w:t>在合同签订之日起七个工作日内</w:t>
      </w:r>
      <w:r>
        <w:rPr>
          <w:rFonts w:hint="eastAsia" w:ascii="宋体" w:hAnsi="宋体"/>
          <w:szCs w:val="21"/>
          <w:u w:val="single"/>
        </w:rPr>
        <w:t>交付温县财政局备案一份、温县公共资源交易中心存档一份，办理资金支付手续时提交一份。</w:t>
      </w:r>
    </w:p>
    <w:p>
      <w:pPr>
        <w:spacing w:line="340" w:lineRule="exact"/>
        <w:rPr>
          <w:rFonts w:ascii="宋体"/>
          <w:szCs w:val="21"/>
        </w:rPr>
      </w:pPr>
      <w:r>
        <w:rPr>
          <w:rFonts w:ascii="宋体" w:hAnsi="宋体" w:cs="宋体"/>
          <w:szCs w:val="21"/>
        </w:rPr>
        <w:t>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szCs w:val="21"/>
        </w:rPr>
      </w:pPr>
    </w:p>
    <w:p>
      <w:pPr>
        <w:spacing w:line="340" w:lineRule="exact"/>
        <w:rPr>
          <w:rFonts w:ascii="宋体"/>
          <w:szCs w:val="21"/>
        </w:rPr>
      </w:pPr>
      <w:r>
        <w:rPr>
          <w:rFonts w:hint="eastAsia" w:ascii="宋体" w:hAnsi="宋体"/>
          <w:szCs w:val="21"/>
        </w:rPr>
        <w:t>供方（公章）：需方（公章）：</w:t>
      </w:r>
    </w:p>
    <w:p>
      <w:pPr>
        <w:spacing w:line="340" w:lineRule="exact"/>
        <w:rPr>
          <w:rFonts w:ascii="宋体"/>
          <w:szCs w:val="21"/>
        </w:rPr>
      </w:pPr>
      <w:r>
        <w:rPr>
          <w:rFonts w:hint="eastAsia" w:ascii="宋体" w:hAnsi="宋体"/>
          <w:szCs w:val="21"/>
        </w:rPr>
        <w:t>地址：地址：</w:t>
      </w:r>
    </w:p>
    <w:p>
      <w:pPr>
        <w:spacing w:line="340" w:lineRule="exact"/>
        <w:rPr>
          <w:rFonts w:ascii="宋体"/>
          <w:szCs w:val="21"/>
        </w:rPr>
      </w:pPr>
      <w:r>
        <w:rPr>
          <w:rFonts w:hint="eastAsia" w:ascii="宋体" w:hAnsi="宋体"/>
          <w:szCs w:val="21"/>
        </w:rPr>
        <w:t>法定代表人或委托代理人（签字）：法定代表人或委托代理人（签字）：</w:t>
      </w:r>
    </w:p>
    <w:p>
      <w:pPr>
        <w:spacing w:line="340" w:lineRule="exact"/>
        <w:rPr>
          <w:rFonts w:ascii="宋体"/>
          <w:szCs w:val="21"/>
        </w:rPr>
      </w:pPr>
      <w:r>
        <w:rPr>
          <w:rFonts w:hint="eastAsia" w:ascii="宋体" w:hAnsi="宋体"/>
          <w:szCs w:val="21"/>
        </w:rPr>
        <w:t>电话：电话：</w:t>
      </w:r>
    </w:p>
    <w:p>
      <w:pPr>
        <w:spacing w:line="340" w:lineRule="exact"/>
        <w:rPr>
          <w:rFonts w:ascii="宋体"/>
          <w:szCs w:val="21"/>
        </w:rPr>
      </w:pPr>
      <w:r>
        <w:rPr>
          <w:rFonts w:hint="eastAsia" w:ascii="宋体" w:hAnsi="宋体"/>
          <w:szCs w:val="21"/>
        </w:rPr>
        <w:t>开户行：开户行：</w:t>
      </w:r>
    </w:p>
    <w:p>
      <w:pPr>
        <w:spacing w:line="340" w:lineRule="exact"/>
        <w:rPr>
          <w:rFonts w:ascii="宋体"/>
          <w:szCs w:val="21"/>
        </w:rPr>
      </w:pPr>
      <w:r>
        <w:rPr>
          <w:rFonts w:hint="eastAsia" w:ascii="宋体" w:hAnsi="宋体"/>
          <w:szCs w:val="21"/>
        </w:rPr>
        <w:t>账号：账号：</w:t>
      </w:r>
    </w:p>
    <w:p>
      <w:pPr>
        <w:widowControl/>
        <w:spacing w:line="560" w:lineRule="atLeast"/>
        <w:rPr>
          <w:rFonts w:ascii="黑体" w:hAnsi="宋体" w:eastAsia="黑体"/>
          <w:b/>
          <w:bCs/>
          <w:szCs w:val="21"/>
        </w:rPr>
      </w:pPr>
      <w:r>
        <w:rPr>
          <w:rFonts w:hint="eastAsia" w:ascii="宋体" w:hAnsi="宋体"/>
          <w:szCs w:val="21"/>
        </w:rPr>
        <w:t>签约时间：年月日签约时间：年月日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[201</w:t>
      </w:r>
      <w:r>
        <w:rPr>
          <w:rFonts w:hint="eastAsia" w:ascii="宋体" w:hAnsi="宋体"/>
          <w:bCs/>
          <w:szCs w:val="21"/>
        </w:rPr>
        <w:t>7</w:t>
      </w:r>
      <w:r>
        <w:rPr>
          <w:rFonts w:ascii="宋体" w:hAnsi="宋体"/>
          <w:bCs/>
          <w:szCs w:val="21"/>
        </w:rPr>
        <w:t xml:space="preserve">]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采购编号：温政采[2017]     号</w:t>
      </w:r>
    </w:p>
    <w:p>
      <w:pPr>
        <w:rPr>
          <w:rFonts w:ascii="宋体"/>
          <w:b/>
          <w:sz w:val="30"/>
          <w:szCs w:val="30"/>
        </w:rPr>
      </w:pPr>
    </w:p>
    <w:p>
      <w:pPr>
        <w:rPr>
          <w:rFonts w:ascii="宋体"/>
          <w:b/>
          <w:sz w:val="30"/>
          <w:szCs w:val="30"/>
        </w:rPr>
      </w:pPr>
    </w:p>
    <w:p>
      <w:pPr>
        <w:tabs>
          <w:tab w:val="left" w:pos="7200"/>
          <w:tab w:val="left" w:pos="7560"/>
        </w:tabs>
        <w:spacing w:line="480" w:lineRule="auto"/>
        <w:ind w:firstLine="2279" w:firstLineChars="946"/>
        <w:rPr>
          <w:rFonts w:ascii="宋体"/>
          <w:b/>
          <w:sz w:val="24"/>
        </w:rPr>
      </w:pPr>
      <w:r>
        <w:rPr>
          <w:rFonts w:hint="eastAsia" w:ascii="宋体" w:hAnsi="宋体"/>
          <w:b/>
          <w:sz w:val="24"/>
        </w:rPr>
        <w:t>供应商：</w:t>
      </w:r>
      <w:r>
        <w:rPr>
          <w:rFonts w:hint="eastAsia" w:ascii="宋体" w:hAnsi="宋体"/>
          <w:b/>
          <w:sz w:val="24"/>
          <w:u w:val="single"/>
        </w:rPr>
        <w:t>（盖章）</w:t>
      </w:r>
    </w:p>
    <w:p>
      <w:pPr>
        <w:spacing w:line="480" w:lineRule="auto"/>
        <w:ind w:left="424" w:leftChars="202" w:firstLine="1807" w:firstLineChars="750"/>
        <w:rPr>
          <w:rFonts w:ascii="宋体"/>
          <w:b/>
          <w:sz w:val="24"/>
          <w:u w:val="single"/>
        </w:rPr>
      </w:pPr>
      <w:r>
        <w:rPr>
          <w:rFonts w:hint="eastAsia" w:ascii="宋体" w:hAnsi="宋体"/>
          <w:b/>
          <w:sz w:val="24"/>
        </w:rPr>
        <w:t>法定代表人或授权委托人</w:t>
      </w:r>
      <w:r>
        <w:rPr>
          <w:rFonts w:ascii="宋体" w:hAnsi="宋体"/>
          <w:b/>
          <w:sz w:val="24"/>
        </w:rPr>
        <w:t>:</w:t>
      </w:r>
      <w:r>
        <w:rPr>
          <w:rFonts w:ascii="宋体" w:hAnsi="宋体"/>
          <w:b/>
          <w:sz w:val="24"/>
          <w:u w:val="single"/>
        </w:rPr>
        <w:t xml:space="preserve">         (</w:t>
      </w:r>
      <w:r>
        <w:rPr>
          <w:rFonts w:hint="eastAsia" w:ascii="宋体" w:hAnsi="宋体"/>
          <w:b/>
          <w:sz w:val="24"/>
          <w:u w:val="single"/>
        </w:rPr>
        <w:t>签字或盖章</w:t>
      </w:r>
      <w:r>
        <w:rPr>
          <w:rFonts w:ascii="宋体" w:hAnsi="宋体"/>
          <w:b/>
          <w:sz w:val="24"/>
          <w:u w:val="single"/>
        </w:rPr>
        <w:t xml:space="preserve">)   </w:t>
      </w:r>
    </w:p>
    <w:p>
      <w:pPr>
        <w:spacing w:line="480" w:lineRule="auto"/>
        <w:ind w:left="424" w:leftChars="202" w:firstLine="1807" w:firstLineChars="750"/>
        <w:rPr>
          <w:rFonts w:ascii="宋体"/>
          <w:b/>
          <w:sz w:val="24"/>
        </w:rPr>
      </w:pPr>
      <w:r>
        <w:rPr>
          <w:rFonts w:hint="eastAsia" w:ascii="宋体" w:hAnsi="宋体"/>
          <w:b/>
          <w:sz w:val="24"/>
        </w:rPr>
        <w:t>投标人地址：</w:t>
      </w:r>
    </w:p>
    <w:p>
      <w:pPr>
        <w:spacing w:line="440" w:lineRule="exact"/>
        <w:ind w:firstLine="2282" w:firstLineChars="947"/>
        <w:jc w:val="left"/>
        <w:rPr>
          <w:rFonts w:ascii="宋体" w:hAnsi="宋体"/>
          <w:b/>
          <w:sz w:val="24"/>
        </w:rPr>
      </w:pPr>
      <w:r>
        <w:rPr>
          <w:rFonts w:hint="eastAsia" w:ascii="宋体" w:hAnsi="宋体"/>
          <w:b/>
          <w:sz w:val="24"/>
        </w:rPr>
        <w:t>日期：    年   月    日</w:t>
      </w:r>
    </w:p>
    <w:p>
      <w:pPr>
        <w:spacing w:line="440" w:lineRule="exact"/>
        <w:ind w:left="424" w:leftChars="202" w:firstLine="562"/>
        <w:jc w:val="left"/>
        <w:rPr>
          <w:rFonts w:ascii="宋体" w:hAnsi="宋体"/>
          <w:b/>
          <w:sz w:val="28"/>
          <w:szCs w:val="28"/>
        </w:rPr>
      </w:pPr>
    </w:p>
    <w:p>
      <w:pPr>
        <w:spacing w:line="440" w:lineRule="exact"/>
        <w:ind w:left="424" w:leftChars="202" w:firstLine="562"/>
        <w:jc w:val="left"/>
        <w:rPr>
          <w:rFonts w:ascii="宋体" w:hAnsi="宋体"/>
          <w:b/>
          <w:sz w:val="28"/>
          <w:szCs w:val="28"/>
        </w:rPr>
      </w:pPr>
    </w:p>
    <w:p>
      <w:bookmarkStart w:id="66" w:name="_Toc17016"/>
      <w:bookmarkStart w:id="67" w:name="_Toc420440910"/>
      <w:bookmarkStart w:id="68" w:name="_Toc430613424"/>
      <w:bookmarkStart w:id="69" w:name="_Toc419803347"/>
      <w:bookmarkStart w:id="70" w:name="_Toc420441527"/>
    </w:p>
    <w:p/>
    <w:p/>
    <w:p/>
    <w:p>
      <w:pPr>
        <w:pStyle w:val="3"/>
        <w:rPr>
          <w:rFonts w:ascii="宋体" w:eastAsia="宋体" w:cs="宋体"/>
          <w:sz w:val="30"/>
          <w:szCs w:val="30"/>
        </w:rPr>
      </w:pPr>
      <w:r>
        <w:rPr>
          <w:rFonts w:hint="eastAsia" w:ascii="宋体" w:eastAsia="宋体" w:cs="宋体"/>
          <w:sz w:val="30"/>
          <w:szCs w:val="30"/>
        </w:rPr>
        <w:t>一、投标函</w:t>
      </w:r>
      <w:bookmarkEnd w:id="66"/>
      <w:bookmarkEnd w:id="67"/>
      <w:bookmarkEnd w:id="68"/>
      <w:bookmarkEnd w:id="69"/>
      <w:bookmarkEnd w:id="70"/>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根据贵方（项目名称和项目编号）招标文件之投标邀请，签字代表：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陆 </w:t>
      </w:r>
      <w:r>
        <w:rPr>
          <w:rFonts w:hint="eastAsia" w:ascii="宋体" w:hAnsi="宋体" w:cs="宋体"/>
          <w:szCs w:val="21"/>
        </w:rPr>
        <w:t>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u w:val="single"/>
        </w:rPr>
        <w:t xml:space="preserve">（大写）      </w:t>
      </w:r>
      <w:r>
        <w:rPr>
          <w:rFonts w:hint="eastAsia" w:ascii="宋体" w:hAnsi="宋体" w:cs="宋体"/>
          <w:b/>
          <w:szCs w:val="21"/>
        </w:rPr>
        <w:t>，</w:t>
      </w:r>
      <w:r>
        <w:rPr>
          <w:rFonts w:hint="eastAsia" w:ascii="宋体" w:hAnsi="宋体" w:cs="宋体"/>
          <w:b/>
          <w:szCs w:val="21"/>
          <w:u w:val="single"/>
        </w:rPr>
        <w:t xml:space="preserve">（小写）      </w:t>
      </w:r>
      <w:r>
        <w:rPr>
          <w:rFonts w:hint="eastAsia" w:ascii="宋体" w:hAnsi="宋体" w:cs="宋体"/>
          <w:szCs w:val="21"/>
          <w:u w:val="single"/>
        </w:rPr>
        <w:t>元</w:t>
      </w:r>
      <w:r>
        <w:rPr>
          <w:rFonts w:hint="eastAsia" w:ascii="宋体" w:hAnsi="宋体" w:cs="宋体"/>
          <w:szCs w:val="21"/>
        </w:rPr>
        <w:t>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、供货期（工期）天</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、本投标自开标日起有效期为个日历天。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71"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71"/>
    </w:p>
    <w:p>
      <w:pPr>
        <w:spacing w:line="560" w:lineRule="exact"/>
        <w:outlineLvl w:val="1"/>
        <w:rPr>
          <w:rFonts w:ascii="宋体" w:cs="宋体"/>
          <w:b/>
          <w:szCs w:val="21"/>
          <w:u w:val="single"/>
        </w:rPr>
      </w:pPr>
      <w:bookmarkStart w:id="72" w:name="_Toc21361"/>
      <w:r>
        <w:rPr>
          <w:rFonts w:hint="eastAsia" w:ascii="宋体" w:hAnsi="宋体" w:cs="宋体"/>
          <w:szCs w:val="21"/>
        </w:rPr>
        <w:t>法定代表人或授权委托人签字</w:t>
      </w:r>
      <w:r>
        <w:rPr>
          <w:rFonts w:ascii="宋体" w:hAnsi="宋体" w:cs="宋体"/>
          <w:szCs w:val="21"/>
        </w:rPr>
        <w:t>:</w:t>
      </w:r>
      <w:bookmarkEnd w:id="72"/>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bookmarkStart w:id="73" w:name="_Toc28992"/>
      <w:r>
        <w:rPr>
          <w:rFonts w:hint="eastAsia" w:ascii="宋体" w:hAnsi="宋体" w:cs="宋体"/>
          <w:szCs w:val="21"/>
        </w:rPr>
        <w:t>日期：年 月 日</w:t>
      </w:r>
      <w:bookmarkEnd w:id="73"/>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74" w:name="_Toc23229"/>
      <w:bookmarkStart w:id="75" w:name="_Toc420441528"/>
      <w:bookmarkStart w:id="76" w:name="_Toc419803348"/>
      <w:bookmarkStart w:id="77" w:name="_Toc430613425"/>
      <w:bookmarkStart w:id="78" w:name="_Toc420440911"/>
      <w:r>
        <w:rPr>
          <w:rFonts w:hint="eastAsia" w:ascii="宋体" w:eastAsia="宋体" w:cs="宋体"/>
          <w:sz w:val="30"/>
          <w:szCs w:val="30"/>
        </w:rPr>
        <w:t>二、开标一览表</w:t>
      </w:r>
      <w:bookmarkEnd w:id="74"/>
      <w:bookmarkEnd w:id="75"/>
      <w:bookmarkEnd w:id="76"/>
      <w:bookmarkEnd w:id="77"/>
      <w:bookmarkEnd w:id="78"/>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Line 2" o:spid="_x0000_s1027" o:spt="20" style="position:absolute;left:0pt;margin-left:169.75pt;margin-top:17.9pt;height:0.05pt;width:84pt;z-index:251656192;mso-width-relative:page;mso-height-relative:page;" o:preferrelative="t" coordsize="21600,21600">
                  <v:path arrowok="t"/>
                  <v:fill focussize="0,0"/>
                  <v:stroke miterlimit="2"/>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Line 3" o:spid="_x0000_s1028" o:spt="20" style="position:absolute;left:0pt;margin-left:169.85pt;margin-top:19.1pt;height:0.05pt;width:84pt;z-index:251657216;mso-width-relative:page;mso-height-relative:page;" o:preferrelative="t" coordsize="21600,21600">
                  <v:path arrowok="t"/>
                  <v:fill focussize="0,0"/>
                  <v:stroke miterlimit="2"/>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ind w:firstLine="210" w:firstLineChars="100"/>
        <w:rPr>
          <w:rFonts w:ascii="宋体" w:cs="宋体"/>
          <w:szCs w:val="21"/>
        </w:rPr>
      </w:pPr>
      <w:r>
        <w:rPr>
          <w:rFonts w:hint="eastAsia" w:ascii="宋体" w:hAnsi="宋体" w:cs="宋体"/>
          <w:szCs w:val="21"/>
        </w:rPr>
        <w:t>年  月  日</w:t>
      </w:r>
    </w:p>
    <w:p>
      <w:pPr>
        <w:spacing w:line="360" w:lineRule="exact"/>
        <w:outlineLvl w:val="1"/>
        <w:rPr>
          <w:rFonts w:ascii="宋体" w:cs="宋体"/>
          <w:szCs w:val="21"/>
        </w:rPr>
      </w:pPr>
      <w:bookmarkStart w:id="79" w:name="_Toc29826"/>
      <w:bookmarkStart w:id="80"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81" w:name="_Toc417917002"/>
      <w:bookmarkStart w:id="82" w:name="_Toc14075"/>
      <w:bookmarkStart w:id="83" w:name="_Toc430613426"/>
    </w:p>
    <w:p>
      <w:pPr>
        <w:pStyle w:val="3"/>
        <w:spacing w:line="360" w:lineRule="exact"/>
        <w:rPr>
          <w:rFonts w:ascii="宋体" w:eastAsia="宋体" w:cs="宋体"/>
          <w:sz w:val="30"/>
          <w:szCs w:val="30"/>
        </w:rPr>
      </w:pPr>
      <w:r>
        <w:rPr>
          <w:rFonts w:hint="eastAsia" w:ascii="宋体" w:eastAsia="宋体" w:cs="宋体"/>
          <w:sz w:val="30"/>
          <w:szCs w:val="30"/>
        </w:rPr>
        <w:t>三、货物分项报价一览表</w:t>
      </w:r>
      <w:bookmarkEnd w:id="81"/>
      <w:bookmarkEnd w:id="82"/>
      <w:bookmarkEnd w:id="83"/>
    </w:p>
    <w:p>
      <w:pPr>
        <w:widowControl/>
        <w:spacing w:line="360" w:lineRule="exact"/>
        <w:jc w:val="left"/>
        <w:outlineLvl w:val="1"/>
        <w:rPr>
          <w:rFonts w:ascii="宋体" w:cs="宋体"/>
          <w:kern w:val="0"/>
          <w:szCs w:val="21"/>
        </w:rPr>
      </w:pPr>
    </w:p>
    <w:tbl>
      <w:tblPr>
        <w:tblStyle w:val="24"/>
        <w:tblpPr w:leftFromText="180" w:rightFromText="180" w:vertAnchor="text" w:horzAnchor="page" w:tblpX="1378" w:tblpY="355"/>
        <w:tblOverlap w:val="never"/>
        <w:tblW w:w="9100" w:type="dxa"/>
        <w:tblInd w:w="0" w:type="dxa"/>
        <w:tblLayout w:type="fixed"/>
        <w:tblCellMar>
          <w:top w:w="0" w:type="dxa"/>
          <w:left w:w="0" w:type="dxa"/>
          <w:bottom w:w="0" w:type="dxa"/>
          <w:right w:w="0" w:type="dxa"/>
        </w:tblCellMar>
      </w:tblPr>
      <w:tblGrid>
        <w:gridCol w:w="641"/>
        <w:gridCol w:w="1861"/>
        <w:gridCol w:w="1500"/>
        <w:gridCol w:w="643"/>
        <w:gridCol w:w="590"/>
        <w:gridCol w:w="1026"/>
        <w:gridCol w:w="1198"/>
        <w:gridCol w:w="1641"/>
      </w:tblGrid>
      <w:tr>
        <w:tblPrEx>
          <w:tblLayout w:type="fixed"/>
          <w:tblCellMar>
            <w:top w:w="0" w:type="dxa"/>
            <w:left w:w="0" w:type="dxa"/>
            <w:bottom w:w="0" w:type="dxa"/>
            <w:right w:w="0" w:type="dxa"/>
          </w:tblCellMar>
        </w:tblPrEx>
        <w:trPr>
          <w:cantSplit/>
          <w:trHeight w:val="57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Layout w:type="fixed"/>
          <w:tblCellMar>
            <w:top w:w="0" w:type="dxa"/>
            <w:left w:w="0" w:type="dxa"/>
            <w:bottom w:w="0" w:type="dxa"/>
            <w:right w:w="0" w:type="dxa"/>
          </w:tblCellMar>
        </w:tblPrEx>
        <w:trPr>
          <w:cantSplit/>
          <w:trHeight w:val="60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Layout w:type="fixed"/>
          <w:tblCellMar>
            <w:top w:w="0" w:type="dxa"/>
            <w:left w:w="0" w:type="dxa"/>
            <w:bottom w:w="0" w:type="dxa"/>
            <w:right w:w="0"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Layout w:type="fixed"/>
          <w:tblCellMar>
            <w:top w:w="0" w:type="dxa"/>
            <w:left w:w="0" w:type="dxa"/>
            <w:bottom w:w="0" w:type="dxa"/>
            <w:right w:w="0" w:type="dxa"/>
          </w:tblCellMar>
        </w:tblPrEx>
        <w:trPr>
          <w:trHeight w:val="480"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1</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公共场所检测系统</w:t>
            </w:r>
          </w:p>
        </w:tc>
        <w:tc>
          <w:tcPr>
            <w:tcW w:w="150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套</w:t>
            </w:r>
          </w:p>
        </w:tc>
        <w:tc>
          <w:tcPr>
            <w:tcW w:w="59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2</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氨气检测仪</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3</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便携式尿素检测仪</w:t>
            </w:r>
          </w:p>
        </w:tc>
        <w:tc>
          <w:tcPr>
            <w:tcW w:w="150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4</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余氯检测仪</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2</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5</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浊度仪</w:t>
            </w:r>
          </w:p>
        </w:tc>
        <w:tc>
          <w:tcPr>
            <w:tcW w:w="150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2</w:t>
            </w: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6</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笔式酸度计</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2</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7</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笔式温度计</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8</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千分之一天平</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2</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9</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紫外辐照计</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10</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水质快速检测箱</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11</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糖化血红蛋白分析仪</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台</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r>
              <w:rPr>
                <w:rFonts w:hint="eastAsia" w:ascii="宋体" w:hAnsi="宋体"/>
                <w:sz w:val="18"/>
                <w:szCs w:val="18"/>
              </w:rPr>
              <w:t>1</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1292" w:hRule="atLeast"/>
        </w:trPr>
        <w:tc>
          <w:tcPr>
            <w:tcW w:w="91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tc>
      </w:tr>
    </w:tbl>
    <w:p>
      <w:pPr>
        <w:spacing w:line="360" w:lineRule="exact"/>
        <w:jc w:val="center"/>
        <w:outlineLvl w:val="1"/>
        <w:rPr>
          <w:rFonts w:ascii="宋体" w:cs="宋体"/>
          <w:b/>
          <w:szCs w:val="21"/>
        </w:rPr>
      </w:pPr>
    </w:p>
    <w:p>
      <w:pPr>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4" w:name="_Toc388091839"/>
      <w:r>
        <w:rPr>
          <w:rFonts w:hint="eastAsia" w:ascii="宋体" w:hAnsi="宋体" w:cs="宋体"/>
          <w:szCs w:val="21"/>
        </w:rPr>
        <w:t>年月日</w:t>
      </w:r>
      <w:bookmarkEnd w:id="84"/>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pStyle w:val="3"/>
        <w:rPr>
          <w:rFonts w:ascii="宋体" w:eastAsia="宋体" w:cs="宋体"/>
          <w:sz w:val="30"/>
          <w:szCs w:val="30"/>
        </w:rPr>
      </w:pPr>
      <w:bookmarkStart w:id="85" w:name="_Toc29655"/>
      <w:bookmarkStart w:id="86" w:name="_Toc419803349"/>
      <w:bookmarkStart w:id="87" w:name="_Toc420441529"/>
      <w:bookmarkStart w:id="88" w:name="_Toc430613427"/>
      <w:bookmarkStart w:id="89" w:name="_Toc420440912"/>
      <w:r>
        <w:rPr>
          <w:rFonts w:hint="eastAsia" w:ascii="宋体" w:eastAsia="宋体" w:cs="宋体"/>
          <w:sz w:val="30"/>
          <w:szCs w:val="30"/>
        </w:rPr>
        <w:t>四、技术规格和商务条款偏差表</w:t>
      </w:r>
      <w:bookmarkEnd w:id="79"/>
      <w:bookmarkEnd w:id="85"/>
      <w:bookmarkEnd w:id="86"/>
      <w:bookmarkEnd w:id="87"/>
      <w:bookmarkEnd w:id="88"/>
      <w:bookmarkEnd w:id="89"/>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Style w:val="24"/>
        <w:tblpPr w:leftFromText="180" w:rightFromText="180" w:vertAnchor="text" w:horzAnchor="margin" w:tblpY="297"/>
        <w:tblW w:w="9496"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1"/>
        <w:gridCol w:w="2389"/>
        <w:gridCol w:w="3797"/>
        <w:gridCol w:w="25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8" w:hRule="atLeast"/>
        </w:trPr>
        <w:tc>
          <w:tcPr>
            <w:tcW w:w="731" w:type="dxa"/>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2389" w:type="dxa"/>
            <w:vAlign w:val="center"/>
          </w:tcPr>
          <w:p>
            <w:pPr>
              <w:widowControl/>
              <w:spacing w:line="560" w:lineRule="exact"/>
              <w:jc w:val="center"/>
              <w:rPr>
                <w:rFonts w:ascii="宋体" w:cs="宋体"/>
                <w:szCs w:val="21"/>
              </w:rPr>
            </w:pPr>
            <w:r>
              <w:rPr>
                <w:rFonts w:hint="eastAsia" w:ascii="宋体" w:hAnsi="宋体" w:cs="宋体"/>
                <w:szCs w:val="21"/>
              </w:rPr>
              <w:t>招标文件技术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3797"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2579"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4" w:hRule="atLeast"/>
        </w:trPr>
        <w:tc>
          <w:tcPr>
            <w:tcW w:w="731" w:type="dxa"/>
            <w:tcBorders>
              <w:bottom w:val="single" w:color="auto" w:sz="4" w:space="0"/>
            </w:tcBorders>
          </w:tcPr>
          <w:p>
            <w:pPr>
              <w:widowControl/>
              <w:spacing w:line="560" w:lineRule="exact"/>
              <w:rPr>
                <w:rFonts w:ascii="宋体" w:cs="宋体"/>
                <w:szCs w:val="21"/>
              </w:rPr>
            </w:pPr>
          </w:p>
        </w:tc>
        <w:tc>
          <w:tcPr>
            <w:tcW w:w="2389" w:type="dxa"/>
            <w:tcBorders>
              <w:bottom w:val="single" w:color="auto" w:sz="4" w:space="0"/>
            </w:tcBorders>
          </w:tcPr>
          <w:p>
            <w:pPr>
              <w:widowControl/>
              <w:spacing w:line="560" w:lineRule="exact"/>
              <w:rPr>
                <w:rFonts w:ascii="宋体" w:cs="宋体"/>
                <w:szCs w:val="21"/>
              </w:rPr>
            </w:pPr>
          </w:p>
        </w:tc>
        <w:tc>
          <w:tcPr>
            <w:tcW w:w="3797" w:type="dxa"/>
            <w:tcBorders>
              <w:bottom w:val="single" w:color="auto" w:sz="4" w:space="0"/>
            </w:tcBorders>
          </w:tcPr>
          <w:p>
            <w:pPr>
              <w:widowControl/>
              <w:spacing w:line="560" w:lineRule="exact"/>
              <w:rPr>
                <w:rFonts w:ascii="宋体" w:cs="宋体"/>
                <w:szCs w:val="21"/>
              </w:rPr>
            </w:pPr>
          </w:p>
        </w:tc>
        <w:tc>
          <w:tcPr>
            <w:tcW w:w="2579" w:type="dxa"/>
            <w:tcBorders>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tcPr>
          <w:p>
            <w:pPr>
              <w:widowControl/>
              <w:spacing w:line="560" w:lineRule="exact"/>
              <w:rPr>
                <w:rFonts w:ascii="宋体" w:cs="宋体"/>
                <w:szCs w:val="21"/>
              </w:rPr>
            </w:pPr>
          </w:p>
        </w:tc>
        <w:tc>
          <w:tcPr>
            <w:tcW w:w="2389" w:type="dxa"/>
            <w:tcBorders>
              <w:top w:val="single" w:color="auto" w:sz="4" w:space="0"/>
              <w:bottom w:val="single" w:color="auto" w:sz="4" w:space="0"/>
            </w:tcBorders>
          </w:tcPr>
          <w:p>
            <w:pPr>
              <w:widowControl/>
              <w:spacing w:line="560" w:lineRule="exact"/>
              <w:rPr>
                <w:rFonts w:ascii="宋体" w:cs="宋体"/>
                <w:szCs w:val="21"/>
              </w:rPr>
            </w:pPr>
          </w:p>
        </w:tc>
        <w:tc>
          <w:tcPr>
            <w:tcW w:w="3797" w:type="dxa"/>
            <w:tcBorders>
              <w:top w:val="single" w:color="auto" w:sz="4" w:space="0"/>
              <w:bottom w:val="single" w:color="auto" w:sz="4" w:space="0"/>
            </w:tcBorders>
          </w:tcPr>
          <w:p>
            <w:pPr>
              <w:widowControl/>
              <w:spacing w:line="560" w:lineRule="exact"/>
              <w:rPr>
                <w:rFonts w:ascii="宋体" w:cs="宋体"/>
                <w:szCs w:val="21"/>
              </w:rPr>
            </w:pPr>
          </w:p>
        </w:tc>
        <w:tc>
          <w:tcPr>
            <w:tcW w:w="2579" w:type="dxa"/>
            <w:tcBorders>
              <w:top w:val="single" w:color="auto" w:sz="4" w:space="0"/>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tcPr>
          <w:p>
            <w:pPr>
              <w:widowControl/>
              <w:spacing w:line="560" w:lineRule="exact"/>
              <w:rPr>
                <w:rFonts w:ascii="宋体" w:cs="宋体"/>
                <w:szCs w:val="21"/>
              </w:rPr>
            </w:pPr>
          </w:p>
        </w:tc>
        <w:tc>
          <w:tcPr>
            <w:tcW w:w="2389" w:type="dxa"/>
            <w:tcBorders>
              <w:top w:val="single" w:color="auto" w:sz="4" w:space="0"/>
              <w:bottom w:val="single" w:color="auto" w:sz="4" w:space="0"/>
            </w:tcBorders>
          </w:tcPr>
          <w:p>
            <w:pPr>
              <w:widowControl/>
              <w:spacing w:line="560" w:lineRule="exact"/>
              <w:rPr>
                <w:rFonts w:ascii="宋体" w:cs="宋体"/>
                <w:szCs w:val="21"/>
              </w:rPr>
            </w:pPr>
          </w:p>
        </w:tc>
        <w:tc>
          <w:tcPr>
            <w:tcW w:w="3797" w:type="dxa"/>
            <w:tcBorders>
              <w:top w:val="single" w:color="auto" w:sz="4" w:space="0"/>
              <w:bottom w:val="single" w:color="auto" w:sz="4" w:space="0"/>
            </w:tcBorders>
          </w:tcPr>
          <w:p>
            <w:pPr>
              <w:widowControl/>
              <w:spacing w:line="560" w:lineRule="exact"/>
              <w:rPr>
                <w:rFonts w:ascii="宋体" w:cs="宋体"/>
                <w:szCs w:val="21"/>
              </w:rPr>
            </w:pPr>
          </w:p>
        </w:tc>
        <w:tc>
          <w:tcPr>
            <w:tcW w:w="2579" w:type="dxa"/>
            <w:tcBorders>
              <w:top w:val="single" w:color="auto" w:sz="4" w:space="0"/>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2" w:hRule="atLeast"/>
        </w:trPr>
        <w:tc>
          <w:tcPr>
            <w:tcW w:w="731" w:type="dxa"/>
            <w:tcBorders>
              <w:top w:val="single" w:color="auto" w:sz="4" w:space="0"/>
              <w:bottom w:val="single" w:color="auto" w:sz="4" w:space="0"/>
            </w:tcBorders>
          </w:tcPr>
          <w:p>
            <w:pPr>
              <w:widowControl/>
              <w:spacing w:line="560" w:lineRule="exact"/>
              <w:rPr>
                <w:rFonts w:ascii="宋体" w:cs="宋体"/>
                <w:szCs w:val="21"/>
              </w:rPr>
            </w:pPr>
          </w:p>
        </w:tc>
        <w:tc>
          <w:tcPr>
            <w:tcW w:w="2389" w:type="dxa"/>
            <w:tcBorders>
              <w:top w:val="single" w:color="auto" w:sz="4" w:space="0"/>
              <w:bottom w:val="single" w:color="auto" w:sz="4" w:space="0"/>
            </w:tcBorders>
          </w:tcPr>
          <w:p>
            <w:pPr>
              <w:widowControl/>
              <w:spacing w:line="560" w:lineRule="exact"/>
              <w:rPr>
                <w:rFonts w:ascii="宋体" w:cs="宋体"/>
                <w:szCs w:val="21"/>
              </w:rPr>
            </w:pPr>
          </w:p>
        </w:tc>
        <w:tc>
          <w:tcPr>
            <w:tcW w:w="3797" w:type="dxa"/>
            <w:tcBorders>
              <w:top w:val="single" w:color="auto" w:sz="4" w:space="0"/>
              <w:bottom w:val="single" w:color="auto" w:sz="4" w:space="0"/>
            </w:tcBorders>
          </w:tcPr>
          <w:p>
            <w:pPr>
              <w:widowControl/>
              <w:spacing w:line="560" w:lineRule="exact"/>
              <w:rPr>
                <w:rFonts w:ascii="宋体" w:cs="宋体"/>
                <w:szCs w:val="21"/>
              </w:rPr>
            </w:pPr>
          </w:p>
        </w:tc>
        <w:tc>
          <w:tcPr>
            <w:tcW w:w="2579" w:type="dxa"/>
            <w:tcBorders>
              <w:top w:val="single" w:color="auto" w:sz="4" w:space="0"/>
              <w:bottom w:val="single" w:color="auto" w:sz="4" w:space="0"/>
            </w:tcBorders>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9"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9" w:firstLineChars="147"/>
        <w:rPr>
          <w:rFonts w:ascii="宋体" w:cs="宋体"/>
          <w:szCs w:val="21"/>
          <w:u w:val="single"/>
        </w:rPr>
      </w:pPr>
      <w:r>
        <w:rPr>
          <w:rFonts w:hint="eastAsia" w:ascii="宋体" w:hAnsi="宋体" w:cs="宋体"/>
          <w:szCs w:val="21"/>
        </w:rPr>
        <w:t>日期：年月日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sectPr>
          <w:headerReference r:id="rId3" w:type="default"/>
          <w:footerReference r:id="rId4" w:type="default"/>
          <w:pgSz w:w="11907" w:h="16840"/>
          <w:pgMar w:top="1440" w:right="1080" w:bottom="1440" w:left="1080" w:header="851" w:footer="992" w:gutter="0"/>
          <w:pgNumType w:fmt="numberInDash"/>
          <w:cols w:space="720" w:num="1"/>
          <w:titlePg/>
          <w:docGrid w:type="linesAndChars" w:linePitch="312" w:charSpace="0"/>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80"/>
    <w:p>
      <w:pPr>
        <w:pStyle w:val="3"/>
        <w:rPr>
          <w:rFonts w:ascii="宋体" w:eastAsia="宋体" w:cs="宋体"/>
          <w:sz w:val="30"/>
          <w:szCs w:val="30"/>
        </w:rPr>
      </w:pPr>
      <w:bookmarkStart w:id="90" w:name="_Toc6733"/>
      <w:bookmarkStart w:id="91" w:name="_Toc420440913"/>
      <w:bookmarkStart w:id="92" w:name="_Toc419803350"/>
      <w:bookmarkStart w:id="93" w:name="_Toc430613428"/>
      <w:bookmarkStart w:id="94" w:name="_Toc420441530"/>
      <w:bookmarkStart w:id="95" w:name="_Toc13679"/>
      <w:r>
        <w:rPr>
          <w:rFonts w:hint="eastAsia" w:ascii="宋体" w:eastAsia="宋体" w:cs="宋体"/>
          <w:sz w:val="30"/>
          <w:szCs w:val="30"/>
        </w:rPr>
        <w:t>五、</w:t>
      </w:r>
      <w:bookmarkEnd w:id="90"/>
      <w:r>
        <w:rPr>
          <w:rFonts w:hint="eastAsia" w:ascii="宋体" w:eastAsia="宋体" w:cs="宋体"/>
          <w:sz w:val="30"/>
          <w:szCs w:val="30"/>
        </w:rPr>
        <w:t>法定代表人（负责人）身份证明</w:t>
      </w:r>
      <w:bookmarkEnd w:id="91"/>
      <w:bookmarkEnd w:id="92"/>
      <w:bookmarkEnd w:id="93"/>
      <w:bookmarkEnd w:id="94"/>
      <w:bookmarkEnd w:id="95"/>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w:t>
      </w:r>
    </w:p>
    <w:p>
      <w:pPr>
        <w:spacing w:line="560" w:lineRule="exact"/>
        <w:rPr>
          <w:rFonts w:ascii="宋体" w:cs="宋体"/>
          <w:szCs w:val="21"/>
        </w:rPr>
      </w:pPr>
      <w:r>
        <w:rPr>
          <w:rFonts w:hint="eastAsia" w:ascii="宋体" w:hAnsi="宋体" w:cs="宋体"/>
          <w:szCs w:val="21"/>
        </w:rPr>
        <w:t>单位性质：</w:t>
      </w:r>
    </w:p>
    <w:p>
      <w:pPr>
        <w:spacing w:line="560" w:lineRule="exact"/>
        <w:rPr>
          <w:rFonts w:ascii="宋体" w:cs="宋体"/>
          <w:szCs w:val="21"/>
        </w:rPr>
      </w:pPr>
      <w:r>
        <w:rPr>
          <w:rFonts w:hint="eastAsia" w:ascii="宋体" w:hAnsi="宋体" w:cs="宋体"/>
          <w:szCs w:val="21"/>
        </w:rPr>
        <w:t>地址：</w:t>
      </w:r>
    </w:p>
    <w:p>
      <w:pPr>
        <w:spacing w:line="560" w:lineRule="exact"/>
        <w:rPr>
          <w:rFonts w:ascii="宋体" w:cs="宋体"/>
          <w:szCs w:val="21"/>
        </w:rPr>
      </w:pPr>
      <w:r>
        <w:rPr>
          <w:rFonts w:hint="eastAsia" w:ascii="宋体" w:hAnsi="宋体" w:cs="宋体"/>
          <w:szCs w:val="21"/>
        </w:rPr>
        <w:t>成立时间：年月日</w:t>
      </w:r>
    </w:p>
    <w:p>
      <w:pPr>
        <w:spacing w:line="560" w:lineRule="exact"/>
        <w:rPr>
          <w:rFonts w:ascii="宋体" w:cs="宋体"/>
          <w:szCs w:val="21"/>
        </w:rPr>
      </w:pPr>
      <w:r>
        <w:rPr>
          <w:rFonts w:hint="eastAsia" w:ascii="宋体" w:hAnsi="宋体" w:cs="宋体"/>
          <w:szCs w:val="21"/>
        </w:rPr>
        <w:t>经营期限：</w:t>
      </w:r>
    </w:p>
    <w:p>
      <w:pPr>
        <w:spacing w:line="560" w:lineRule="exact"/>
        <w:rPr>
          <w:rFonts w:ascii="宋体" w:cs="宋体"/>
          <w:szCs w:val="21"/>
        </w:rPr>
      </w:pPr>
      <w:r>
        <w:rPr>
          <w:rFonts w:hint="eastAsia" w:ascii="宋体" w:hAnsi="宋体" w:cs="宋体"/>
          <w:szCs w:val="21"/>
        </w:rPr>
        <w:t>姓名：性别：年龄：职务：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rPr>
          <w:rFonts w:ascii="宋体" w:cs="宋体"/>
          <w:szCs w:val="21"/>
        </w:rPr>
      </w:pPr>
      <w:r>
        <w:rPr>
          <w:rFonts w:hint="eastAsia" w:ascii="宋体" w:hAnsi="宋体" w:cs="宋体"/>
          <w:szCs w:val="21"/>
        </w:rPr>
        <w:t>年月日</w:t>
      </w:r>
    </w:p>
    <w:p>
      <w:pPr>
        <w:pStyle w:val="3"/>
        <w:jc w:val="both"/>
        <w:rPr>
          <w:rFonts w:ascii="宋体" w:eastAsia="宋体" w:cs="宋体"/>
          <w:sz w:val="21"/>
          <w:szCs w:val="21"/>
        </w:rPr>
      </w:pPr>
      <w:bookmarkStart w:id="96"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97" w:name="_Toc337"/>
      <w:bookmarkStart w:id="98" w:name="_Toc430613429"/>
      <w:bookmarkStart w:id="99" w:name="_Toc420440914"/>
      <w:bookmarkStart w:id="100" w:name="_Toc419803351"/>
      <w:bookmarkStart w:id="101" w:name="_Toc420441531"/>
      <w:r>
        <w:rPr>
          <w:rFonts w:hint="eastAsia" w:ascii="宋体" w:eastAsia="宋体" w:cs="宋体"/>
          <w:sz w:val="30"/>
          <w:szCs w:val="30"/>
        </w:rPr>
        <w:t>六、</w:t>
      </w:r>
      <w:bookmarkEnd w:id="96"/>
      <w:r>
        <w:rPr>
          <w:rFonts w:hint="eastAsia" w:ascii="宋体" w:eastAsia="宋体" w:cs="宋体"/>
          <w:sz w:val="30"/>
          <w:szCs w:val="30"/>
        </w:rPr>
        <w:t>授权委托书</w:t>
      </w:r>
      <w:bookmarkEnd w:id="97"/>
      <w:bookmarkEnd w:id="98"/>
      <w:bookmarkEnd w:id="99"/>
      <w:bookmarkEnd w:id="100"/>
      <w:bookmarkEnd w:id="101"/>
    </w:p>
    <w:p>
      <w:pPr>
        <w:spacing w:line="440" w:lineRule="exact"/>
        <w:rPr>
          <w:rFonts w:ascii="宋体" w:cs="宋体"/>
          <w:szCs w:val="21"/>
        </w:rPr>
      </w:pPr>
    </w:p>
    <w:p>
      <w:pPr>
        <w:topLinePunct/>
        <w:spacing w:line="560" w:lineRule="exact"/>
        <w:ind w:firstLine="420" w:firstLineChars="200"/>
        <w:rPr>
          <w:rFonts w:ascii="宋体" w:cs="宋体"/>
          <w:szCs w:val="21"/>
        </w:rPr>
      </w:pPr>
      <w:r>
        <w:rPr>
          <w:rFonts w:hint="eastAsia" w:ascii="宋体" w:hAnsi="宋体" w:cs="宋体"/>
          <w:szCs w:val="21"/>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宋体"/>
          <w:szCs w:val="21"/>
        </w:rPr>
      </w:pPr>
      <w:r>
        <w:rPr>
          <w:rFonts w:hint="eastAsia" w:ascii="宋体" w:hAnsi="宋体" w:cs="宋体"/>
          <w:szCs w:val="21"/>
        </w:rPr>
        <w:t>委托期限：。</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年月日</w:t>
      </w:r>
    </w:p>
    <w:p>
      <w:pPr>
        <w:pStyle w:val="3"/>
        <w:spacing w:line="360" w:lineRule="exact"/>
        <w:rPr>
          <w:rFonts w:ascii="宋体" w:eastAsia="宋体" w:cs="宋体"/>
          <w:sz w:val="21"/>
          <w:szCs w:val="21"/>
        </w:rPr>
      </w:pPr>
      <w:bookmarkStart w:id="102" w:name="_Toc8927"/>
      <w:r>
        <w:rPr>
          <w:rFonts w:ascii="宋体" w:eastAsia="宋体" w:cs="宋体"/>
          <w:sz w:val="21"/>
          <w:szCs w:val="21"/>
        </w:rPr>
        <w:br w:type="page"/>
      </w:r>
    </w:p>
    <w:p>
      <w:pPr>
        <w:pStyle w:val="3"/>
        <w:rPr>
          <w:rFonts w:ascii="宋体" w:eastAsia="宋体" w:cs="宋体"/>
          <w:sz w:val="30"/>
          <w:szCs w:val="30"/>
        </w:rPr>
      </w:pPr>
      <w:bookmarkStart w:id="103" w:name="_Toc420440915"/>
      <w:bookmarkStart w:id="104" w:name="_Toc420441532"/>
      <w:bookmarkStart w:id="105" w:name="_Toc16411"/>
      <w:bookmarkStart w:id="106" w:name="_Toc419803352"/>
      <w:bookmarkStart w:id="107" w:name="_Toc430613430"/>
      <w:r>
        <w:rPr>
          <w:rFonts w:hint="eastAsia" w:ascii="宋体" w:eastAsia="宋体" w:cs="宋体"/>
          <w:sz w:val="30"/>
          <w:szCs w:val="30"/>
        </w:rPr>
        <w:t>七、</w:t>
      </w:r>
      <w:bookmarkEnd w:id="102"/>
      <w:r>
        <w:rPr>
          <w:rFonts w:hint="eastAsia" w:ascii="宋体" w:eastAsia="宋体" w:cs="宋体"/>
          <w:sz w:val="30"/>
          <w:szCs w:val="30"/>
        </w:rPr>
        <w:t>投标人基本情况表</w:t>
      </w:r>
      <w:bookmarkEnd w:id="103"/>
      <w:bookmarkEnd w:id="104"/>
      <w:bookmarkEnd w:id="105"/>
      <w:bookmarkEnd w:id="106"/>
      <w:bookmarkEnd w:id="107"/>
    </w:p>
    <w:p>
      <w:pPr>
        <w:spacing w:line="360" w:lineRule="exact"/>
        <w:rPr>
          <w:rFonts w:ascii="宋体" w:cs="宋体"/>
          <w:szCs w:val="21"/>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08" w:name="_Toc19998"/>
      <w:bookmarkStart w:id="109" w:name="_Toc13757"/>
    </w:p>
    <w:bookmarkEnd w:id="108"/>
    <w:bookmarkEnd w:id="109"/>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6、企业荣誉（复印件）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7、服务承诺及优惠条件</w:t>
      </w:r>
    </w:p>
    <w:p>
      <w:pPr>
        <w:autoSpaceDE w:val="0"/>
        <w:autoSpaceDN w:val="0"/>
        <w:adjustRightInd w:val="0"/>
        <w:jc w:val="center"/>
        <w:rPr>
          <w:rFonts w:ascii="宋体" w:hAnsi="宋体"/>
          <w:b/>
          <w:sz w:val="24"/>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7"/>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eastAsia="宋体"/>
          <w:sz w:val="28"/>
          <w:szCs w:val="28"/>
        </w:rPr>
      </w:pPr>
      <w:bookmarkStart w:id="110" w:name="_Toc395168331"/>
      <w:r>
        <w:rPr>
          <w:rFonts w:hint="eastAsia"/>
        </w:rPr>
        <w:t>8、</w:t>
      </w:r>
      <w:bookmarkEnd w:id="110"/>
      <w:r>
        <w:rPr>
          <w:rFonts w:hint="eastAsia" w:asci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9、反商业贿赂承诺书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10、第二轮报价表（仅限于谈判现场填写）</w:t>
      </w:r>
    </w:p>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_x0000_s1029" o:spid="_x0000_s1029" o:spt="20" style="position:absolute;left:0pt;margin-left:169.75pt;margin-top:17.9pt;height:0.05pt;width:84pt;z-index:251658240;mso-width-relative:page;mso-height-relative:page;" o:preferrelative="t" coordsize="21600,21600">
                  <v:path arrowok="t"/>
                  <v:fill focussize="0,0"/>
                  <v:stroke miterlimit="2"/>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_x0000_s1030" o:spid="_x0000_s1030" o:spt="20" style="position:absolute;left:0pt;margin-left:169.85pt;margin-top:19.1pt;height:0.05pt;width:84pt;z-index:251659264;mso-width-relative:page;mso-height-relative:page;" o:preferrelative="t" coordsize="21600,21600">
                  <v:path arrowok="t"/>
                  <v:fill focussize="0,0"/>
                  <v:stroke miterlimit="2"/>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11、资 格 证 明 文 件</w:t>
      </w:r>
    </w:p>
    <w:p/>
    <w:p>
      <w:pPr>
        <w:spacing w:line="600" w:lineRule="exact"/>
        <w:rPr>
          <w:rFonts w:ascii="宋体" w:hAnsi="宋体"/>
          <w:szCs w:val="21"/>
        </w:rPr>
      </w:pPr>
    </w:p>
    <w:p>
      <w:pPr>
        <w:spacing w:line="360" w:lineRule="exact"/>
        <w:ind w:firstLine="315" w:firstLineChars="150"/>
        <w:rPr>
          <w:rFonts w:ascii="宋体" w:hAnsi="宋体"/>
          <w:bCs/>
          <w:szCs w:val="21"/>
        </w:rPr>
      </w:pPr>
      <w:r>
        <w:rPr>
          <w:rFonts w:hint="eastAsia" w:ascii="宋体" w:hAnsi="宋体"/>
          <w:bCs/>
          <w:szCs w:val="21"/>
        </w:rPr>
        <w:t>1、营业执照（副本）、税务登记证（副本）、组织机构代码证（副本）或（三证合一的营业执照）</w:t>
      </w:r>
    </w:p>
    <w:p>
      <w:pPr>
        <w:spacing w:line="360" w:lineRule="exact"/>
        <w:ind w:firstLine="315" w:firstLineChars="150"/>
        <w:rPr>
          <w:rFonts w:ascii="宋体" w:hAnsi="宋体"/>
          <w:bCs/>
          <w:szCs w:val="21"/>
        </w:rPr>
      </w:pPr>
      <w:r>
        <w:rPr>
          <w:rFonts w:hint="eastAsia" w:ascii="宋体" w:hAnsi="宋体"/>
          <w:bCs/>
          <w:szCs w:val="21"/>
        </w:rPr>
        <w:t>2、依法缴纳社会保障资金的证明；</w:t>
      </w:r>
    </w:p>
    <w:p>
      <w:pPr>
        <w:spacing w:line="360" w:lineRule="exact"/>
        <w:ind w:firstLine="315" w:firstLineChars="150"/>
        <w:rPr>
          <w:rFonts w:ascii="宋体" w:hAnsi="宋体"/>
          <w:bCs/>
          <w:szCs w:val="21"/>
        </w:rPr>
      </w:pPr>
      <w:r>
        <w:rPr>
          <w:rFonts w:hint="eastAsia" w:ascii="宋体" w:hAnsi="宋体"/>
          <w:bCs/>
          <w:szCs w:val="21"/>
        </w:rPr>
        <w:t>3、依法缴纳税收的证明（完税证明）；</w:t>
      </w:r>
    </w:p>
    <w:p>
      <w:pPr>
        <w:spacing w:line="360" w:lineRule="exact"/>
        <w:ind w:firstLine="315" w:firstLineChars="150"/>
        <w:rPr>
          <w:rFonts w:ascii="宋体" w:hAnsi="宋体"/>
          <w:bCs/>
          <w:szCs w:val="21"/>
        </w:rPr>
      </w:pPr>
      <w:r>
        <w:rPr>
          <w:rFonts w:hint="eastAsia" w:ascii="宋体" w:hAnsi="宋体"/>
          <w:bCs/>
          <w:szCs w:val="21"/>
        </w:rPr>
        <w:t>4、财务状况证明</w:t>
      </w:r>
    </w:p>
    <w:p>
      <w:pPr>
        <w:spacing w:line="360" w:lineRule="exact"/>
        <w:ind w:firstLine="315" w:firstLineChars="150"/>
        <w:rPr>
          <w:rFonts w:ascii="宋体" w:hAnsi="宋体"/>
          <w:bCs/>
          <w:szCs w:val="21"/>
        </w:rPr>
      </w:pPr>
      <w:r>
        <w:rPr>
          <w:rFonts w:hint="eastAsia" w:ascii="宋体" w:hAnsi="宋体"/>
          <w:bCs/>
          <w:szCs w:val="21"/>
        </w:rPr>
        <w:t>5、参加政府采购活动前三年内，在经营活动中没有重大违法记录声明；</w:t>
      </w:r>
    </w:p>
    <w:p>
      <w:pPr>
        <w:spacing w:line="360" w:lineRule="exact"/>
        <w:ind w:firstLine="315" w:firstLineChars="150"/>
        <w:rPr>
          <w:rFonts w:ascii="宋体" w:hAnsi="宋体"/>
          <w:bCs/>
          <w:szCs w:val="21"/>
        </w:rPr>
      </w:pPr>
      <w:r>
        <w:rPr>
          <w:rFonts w:hint="eastAsia" w:ascii="宋体" w:hAnsi="宋体"/>
          <w:bCs/>
          <w:szCs w:val="21"/>
        </w:rPr>
        <w:t>6、投标保证金银行转账凭证复印件；</w:t>
      </w:r>
    </w:p>
    <w:p>
      <w:pPr>
        <w:spacing w:line="360" w:lineRule="exact"/>
        <w:ind w:firstLine="315" w:firstLineChars="150"/>
        <w:rPr>
          <w:rFonts w:ascii="宋体" w:hAnsi="宋体"/>
          <w:bCs/>
          <w:szCs w:val="21"/>
        </w:rPr>
      </w:pPr>
      <w:r>
        <w:rPr>
          <w:rFonts w:hint="eastAsia" w:ascii="宋体" w:hAnsi="宋体"/>
          <w:bCs/>
          <w:szCs w:val="21"/>
        </w:rPr>
        <w:t>7、法定代表人身份证复印件或法人授权委托书及本人身份证复印件</w:t>
      </w:r>
    </w:p>
    <w:p>
      <w:pPr>
        <w:spacing w:line="360" w:lineRule="exact"/>
        <w:ind w:firstLine="315" w:firstLineChars="150"/>
        <w:rPr>
          <w:rFonts w:ascii="宋体" w:hAnsi="宋体"/>
          <w:bCs/>
          <w:szCs w:val="21"/>
        </w:rPr>
      </w:pPr>
      <w:r>
        <w:rPr>
          <w:rFonts w:hint="eastAsia" w:ascii="宋体" w:hAnsi="宋体"/>
          <w:bCs/>
          <w:szCs w:val="21"/>
        </w:rPr>
        <w:t>8、投标单位认为应附的其他证明材料</w:t>
      </w:r>
    </w:p>
    <w:p>
      <w:pPr>
        <w:spacing w:line="360" w:lineRule="exact"/>
        <w:ind w:firstLine="315" w:firstLineChars="150"/>
        <w:rPr>
          <w:rFonts w:ascii="宋体" w:hAnsi="宋体"/>
          <w:bCs/>
          <w:szCs w:val="21"/>
        </w:rPr>
      </w:pPr>
    </w:p>
    <w:p>
      <w:pPr>
        <w:spacing w:line="360" w:lineRule="exact"/>
        <w:ind w:firstLine="316" w:firstLineChars="150"/>
        <w:rPr>
          <w:rFonts w:ascii="宋体" w:hAnsi="宋体"/>
          <w:b/>
          <w:szCs w:val="21"/>
        </w:rPr>
      </w:pPr>
      <w:r>
        <w:rPr>
          <w:rFonts w:hint="eastAsia" w:ascii="宋体" w:hAnsi="宋体"/>
          <w:b/>
          <w:szCs w:val="21"/>
        </w:rPr>
        <w:t>以上复印件必须加盖单位公章</w:t>
      </w:r>
    </w:p>
    <w:p>
      <w:pPr>
        <w:pStyle w:val="3"/>
        <w:spacing w:line="360" w:lineRule="exact"/>
        <w:rPr>
          <w:rFonts w:ascii="宋体" w:eastAsia="宋体"/>
          <w:sz w:val="21"/>
          <w:szCs w:val="21"/>
        </w:rPr>
      </w:pPr>
      <w:r>
        <w:rPr>
          <w:rFonts w:ascii="宋体" w:eastAsia="宋体"/>
          <w:sz w:val="21"/>
          <w:szCs w:val="21"/>
        </w:rPr>
        <w:br w:type="page"/>
      </w:r>
    </w:p>
    <w:p>
      <w:pPr>
        <w:pStyle w:val="3"/>
        <w:spacing w:line="360" w:lineRule="exact"/>
        <w:rPr>
          <w:rFonts w:ascii="宋体" w:eastAsia="宋体"/>
        </w:rPr>
      </w:pPr>
      <w:r>
        <w:rPr>
          <w:rFonts w:hint="eastAsia" w:ascii="宋体" w:eastAsia="宋体"/>
        </w:rPr>
        <w:t>12、投标单位认为应附的其他证明材料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Book Antiqua">
    <w:panose1 w:val="02040602050305030304"/>
    <w:charset w:val="00"/>
    <w:family w:val="roman"/>
    <w:pitch w:val="default"/>
    <w:sig w:usb0="00000287" w:usb1="00000000" w:usb2="00000000" w:usb3="00000000" w:csb0="2000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黑体简体">
    <w:altName w:val="Arial Unicode MS"/>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line id="Line 1" o:spid="_x0000_s2049" o:spt="20" style="position:absolute;left:0pt;margin-left:0pt;margin-top:3.6pt;height:0.05pt;width:441pt;z-index:1024;mso-width-relative:page;mso-height-relative:page;" o:preferrelative="t" coordsize="21600,21600">
          <v:path arrowok="t"/>
          <v:fill focussize="0,0"/>
          <v:stroke miterlimit="2"/>
          <v:imagedata o:title=""/>
          <o:lock v:ext="edit"/>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- 4 -</w: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宋体" w:hAnsi="宋体"/>
        <w:bCs/>
      </w:rPr>
      <w:t>温县疾病预防控制中心公共场所监测仪器设备购置项目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DC91F"/>
    <w:multiLevelType w:val="singleLevel"/>
    <w:tmpl w:val="568DC91F"/>
    <w:lvl w:ilvl="0" w:tentative="0">
      <w:start w:val="1"/>
      <w:numFmt w:val="chineseCounting"/>
      <w:suff w:val="nothing"/>
      <w:lvlText w:val="%1、"/>
      <w:lvlJc w:val="left"/>
    </w:lvl>
  </w:abstractNum>
  <w:abstractNum w:abstractNumId="1">
    <w:nsid w:val="5847BD59"/>
    <w:multiLevelType w:val="singleLevel"/>
    <w:tmpl w:val="5847BD59"/>
    <w:lvl w:ilvl="0" w:tentative="0">
      <w:start w:val="3"/>
      <w:numFmt w:val="chineseCounting"/>
      <w:suff w:val="space"/>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408"/>
    <w:rsid w:val="00043408"/>
    <w:rsid w:val="000A3E3E"/>
    <w:rsid w:val="001616DB"/>
    <w:rsid w:val="001C6904"/>
    <w:rsid w:val="00214467"/>
    <w:rsid w:val="00226E2C"/>
    <w:rsid w:val="002A3C3D"/>
    <w:rsid w:val="002B3507"/>
    <w:rsid w:val="002F276D"/>
    <w:rsid w:val="00337864"/>
    <w:rsid w:val="00345E04"/>
    <w:rsid w:val="003618C0"/>
    <w:rsid w:val="00366CFC"/>
    <w:rsid w:val="003A7CF2"/>
    <w:rsid w:val="00412BDD"/>
    <w:rsid w:val="004B16E6"/>
    <w:rsid w:val="004D0EC3"/>
    <w:rsid w:val="004E3DA5"/>
    <w:rsid w:val="005A04A5"/>
    <w:rsid w:val="005D6EA0"/>
    <w:rsid w:val="006770C3"/>
    <w:rsid w:val="006C0939"/>
    <w:rsid w:val="007044F4"/>
    <w:rsid w:val="0077587A"/>
    <w:rsid w:val="007C69B7"/>
    <w:rsid w:val="007D16F3"/>
    <w:rsid w:val="008D094C"/>
    <w:rsid w:val="009B1F6D"/>
    <w:rsid w:val="009B475A"/>
    <w:rsid w:val="009E0605"/>
    <w:rsid w:val="00A55287"/>
    <w:rsid w:val="00AE2B0D"/>
    <w:rsid w:val="00B555FA"/>
    <w:rsid w:val="00B8693B"/>
    <w:rsid w:val="00BA45EA"/>
    <w:rsid w:val="00BB3AD1"/>
    <w:rsid w:val="00BC4C7F"/>
    <w:rsid w:val="00BD276B"/>
    <w:rsid w:val="00C02A5F"/>
    <w:rsid w:val="00C700AF"/>
    <w:rsid w:val="00CA02F1"/>
    <w:rsid w:val="00CC1613"/>
    <w:rsid w:val="00D37A1B"/>
    <w:rsid w:val="00D551A8"/>
    <w:rsid w:val="00D61055"/>
    <w:rsid w:val="00DC4EB1"/>
    <w:rsid w:val="00EA7FC2"/>
    <w:rsid w:val="00EC6D0E"/>
    <w:rsid w:val="00EF2FE8"/>
    <w:rsid w:val="00F0226B"/>
    <w:rsid w:val="00F835EB"/>
    <w:rsid w:val="00FB4551"/>
    <w:rsid w:val="00FB5BCA"/>
    <w:rsid w:val="00FF5AF9"/>
    <w:rsid w:val="07EC7AAA"/>
    <w:rsid w:val="0EB50CBB"/>
    <w:rsid w:val="25244D43"/>
    <w:rsid w:val="2FB15C2A"/>
    <w:rsid w:val="3A7F062C"/>
    <w:rsid w:val="546241DC"/>
    <w:rsid w:val="76E3391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9"/>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30"/>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1"/>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2"/>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3"/>
    <w:qFormat/>
    <w:uiPriority w:val="99"/>
    <w:pPr>
      <w:ind w:left="100" w:leftChars="2500"/>
    </w:pPr>
  </w:style>
  <w:style w:type="paragraph" w:styleId="11">
    <w:name w:val="Balloon Text"/>
    <w:basedOn w:val="1"/>
    <w:link w:val="34"/>
    <w:qFormat/>
    <w:uiPriority w:val="99"/>
    <w:rPr>
      <w:sz w:val="18"/>
      <w:szCs w:val="18"/>
    </w:rPr>
  </w:style>
  <w:style w:type="paragraph" w:styleId="12">
    <w:name w:val="footer"/>
    <w:basedOn w:val="1"/>
    <w:link w:val="35"/>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6"/>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table" w:styleId="25">
    <w:name w:val="Table Grid"/>
    <w:basedOn w:val="24"/>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6">
    <w:name w:val="_Style 43"/>
    <w:basedOn w:val="1"/>
    <w:qFormat/>
    <w:uiPriority w:val="99"/>
  </w:style>
  <w:style w:type="paragraph" w:customStyle="1" w:styleId="27">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8">
    <w:name w:val="_Style 2"/>
    <w:basedOn w:val="1"/>
    <w:qFormat/>
    <w:uiPriority w:val="99"/>
    <w:pPr>
      <w:ind w:firstLine="420" w:firstLineChars="200"/>
    </w:pPr>
  </w:style>
  <w:style w:type="character" w:customStyle="1" w:styleId="29">
    <w:name w:val="标题 1 Char"/>
    <w:basedOn w:val="21"/>
    <w:link w:val="2"/>
    <w:qFormat/>
    <w:uiPriority w:val="9"/>
    <w:rPr>
      <w:rFonts w:cs="黑体"/>
      <w:b/>
      <w:bCs/>
      <w:kern w:val="44"/>
      <w:sz w:val="44"/>
      <w:szCs w:val="44"/>
    </w:rPr>
  </w:style>
  <w:style w:type="character" w:customStyle="1" w:styleId="30">
    <w:name w:val="标题 2 Char"/>
    <w:basedOn w:val="21"/>
    <w:link w:val="3"/>
    <w:uiPriority w:val="9"/>
    <w:rPr>
      <w:rFonts w:ascii="Cambria" w:hAnsi="Cambria" w:eastAsia="宋体" w:cs="黑体"/>
      <w:b/>
      <w:bCs/>
      <w:sz w:val="32"/>
      <w:szCs w:val="32"/>
    </w:rPr>
  </w:style>
  <w:style w:type="character" w:customStyle="1" w:styleId="31">
    <w:name w:val="正文文本缩进 Char"/>
    <w:basedOn w:val="21"/>
    <w:link w:val="5"/>
    <w:qFormat/>
    <w:uiPriority w:val="99"/>
    <w:rPr>
      <w:rFonts w:cs="黑体"/>
      <w:szCs w:val="24"/>
    </w:rPr>
  </w:style>
  <w:style w:type="character" w:customStyle="1" w:styleId="32">
    <w:name w:val="纯文本 Char"/>
    <w:basedOn w:val="21"/>
    <w:link w:val="8"/>
    <w:qFormat/>
    <w:uiPriority w:val="99"/>
    <w:rPr>
      <w:rFonts w:ascii="宋体" w:hAnsi="Courier New" w:cs="Courier New"/>
      <w:szCs w:val="21"/>
    </w:rPr>
  </w:style>
  <w:style w:type="character" w:customStyle="1" w:styleId="33">
    <w:name w:val="日期 Char"/>
    <w:basedOn w:val="21"/>
    <w:link w:val="10"/>
    <w:qFormat/>
    <w:uiPriority w:val="99"/>
    <w:rPr>
      <w:rFonts w:cs="黑体"/>
      <w:kern w:val="2"/>
      <w:sz w:val="24"/>
      <w:szCs w:val="24"/>
    </w:rPr>
  </w:style>
  <w:style w:type="character" w:customStyle="1" w:styleId="34">
    <w:name w:val="批注框文本 Char"/>
    <w:basedOn w:val="21"/>
    <w:link w:val="11"/>
    <w:qFormat/>
    <w:uiPriority w:val="99"/>
    <w:rPr>
      <w:rFonts w:eastAsia="宋体" w:cs="黑体"/>
      <w:kern w:val="2"/>
      <w:sz w:val="18"/>
      <w:szCs w:val="18"/>
    </w:rPr>
  </w:style>
  <w:style w:type="character" w:customStyle="1" w:styleId="35">
    <w:name w:val="页脚 Char"/>
    <w:basedOn w:val="21"/>
    <w:link w:val="12"/>
    <w:uiPriority w:val="99"/>
    <w:rPr>
      <w:rFonts w:cs="黑体"/>
      <w:sz w:val="18"/>
      <w:szCs w:val="18"/>
    </w:rPr>
  </w:style>
  <w:style w:type="character" w:customStyle="1" w:styleId="36">
    <w:name w:val="页眉 Char"/>
    <w:basedOn w:val="21"/>
    <w:link w:val="13"/>
    <w:qFormat/>
    <w:uiPriority w:val="99"/>
    <w:rPr>
      <w:rFonts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29</Pages>
  <Words>2082</Words>
  <Characters>11869</Characters>
  <Lines>98</Lines>
  <Paragraphs>27</Paragraphs>
  <TotalTime>0</TotalTime>
  <ScaleCrop>false</ScaleCrop>
  <LinksUpToDate>false</LinksUpToDate>
  <CharactersWithSpaces>13924</CharactersWithSpaces>
  <Application>WPS Office_10.1.0.6374_F1E327BC-269C-435d-A152-05C5408002CA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ZX</cp:lastModifiedBy>
  <cp:lastPrinted>2017-04-06T00:47:00Z</cp:lastPrinted>
  <dcterms:modified xsi:type="dcterms:W3CDTF">2017-04-07T01:26:40Z</dcterms:modified>
  <dc:title>温县水质检测中心仪器设备购置项目 </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2052-10.1.0.6374</vt:lpwstr>
  </property>
</Properties>
</file>